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0C5BC" w14:textId="5E992077" w:rsidR="00EB2532" w:rsidRDefault="00EB2532" w:rsidP="00C84C0B">
      <w:pPr>
        <w:spacing w:after="0" w:line="240" w:lineRule="auto"/>
        <w:rPr>
          <w:rStyle w:val="hgkelc"/>
          <w:rFonts w:cstheme="minorHAnsi"/>
          <w:b/>
          <w:bCs/>
          <w:sz w:val="24"/>
        </w:rPr>
      </w:pPr>
      <w:r>
        <w:rPr>
          <w:rStyle w:val="hgkelc"/>
          <w:rFonts w:cstheme="minorHAnsi"/>
          <w:b/>
          <w:bCs/>
          <w:sz w:val="24"/>
        </w:rPr>
        <w:t>WEB TEMA č. 1.2025</w:t>
      </w:r>
    </w:p>
    <w:p w14:paraId="633D5B59" w14:textId="77777777" w:rsidR="00EB2532" w:rsidRDefault="00EB2532" w:rsidP="00C84C0B">
      <w:pPr>
        <w:spacing w:after="0" w:line="240" w:lineRule="auto"/>
        <w:rPr>
          <w:rStyle w:val="hgkelc"/>
          <w:rFonts w:cstheme="minorHAnsi"/>
          <w:b/>
          <w:bCs/>
          <w:sz w:val="24"/>
        </w:rPr>
      </w:pPr>
    </w:p>
    <w:p w14:paraId="7EBE69D1" w14:textId="625EA06D" w:rsidR="00AA446B" w:rsidRPr="00C84C0B" w:rsidRDefault="00747A2C" w:rsidP="00C84C0B">
      <w:pPr>
        <w:spacing w:after="0" w:line="240" w:lineRule="auto"/>
        <w:rPr>
          <w:rStyle w:val="hgkelc"/>
          <w:rFonts w:cstheme="minorHAnsi"/>
          <w:b/>
          <w:bCs/>
          <w:sz w:val="24"/>
        </w:rPr>
      </w:pPr>
      <w:r w:rsidRPr="00C84C0B">
        <w:rPr>
          <w:rStyle w:val="hgkelc"/>
          <w:rFonts w:cstheme="minorHAnsi"/>
          <w:b/>
          <w:bCs/>
          <w:sz w:val="24"/>
        </w:rPr>
        <w:t>Žumpa na Severozápadě</w:t>
      </w:r>
    </w:p>
    <w:p w14:paraId="69EE6FEF" w14:textId="77777777" w:rsidR="00C84C0B" w:rsidRPr="00C84C0B" w:rsidRDefault="00C84C0B" w:rsidP="00C84C0B">
      <w:pPr>
        <w:spacing w:after="0" w:line="240" w:lineRule="auto"/>
        <w:rPr>
          <w:rStyle w:val="hgkelc"/>
          <w:rFonts w:cstheme="minorHAnsi"/>
          <w:b/>
          <w:bCs/>
          <w:sz w:val="18"/>
        </w:rPr>
      </w:pPr>
      <w:r>
        <w:rPr>
          <w:rStyle w:val="hgkelc"/>
          <w:rFonts w:ascii="Times New Roman" w:hAnsi="Times New Roman" w:cs="Times New Roman"/>
          <w:bCs/>
          <w:sz w:val="18"/>
        </w:rPr>
        <w:t>(</w:t>
      </w:r>
      <w:r w:rsidRPr="00C84C0B">
        <w:rPr>
          <w:rStyle w:val="hgkelc"/>
          <w:rFonts w:ascii="Times New Roman" w:hAnsi="Times New Roman" w:cs="Times New Roman"/>
          <w:bCs/>
          <w:sz w:val="18"/>
        </w:rPr>
        <w:t>Česká regionální politika</w:t>
      </w:r>
      <w:r w:rsidRPr="00C84C0B">
        <w:rPr>
          <w:rStyle w:val="hgkelc"/>
          <w:rFonts w:cstheme="minorHAnsi"/>
          <w:b/>
          <w:bCs/>
          <w:sz w:val="18"/>
        </w:rPr>
        <w:t>)</w:t>
      </w:r>
    </w:p>
    <w:p w14:paraId="7B490B26" w14:textId="77777777" w:rsidR="00C84C0B" w:rsidRPr="00C84C0B" w:rsidRDefault="00C84C0B">
      <w:pPr>
        <w:rPr>
          <w:rStyle w:val="hgkelc"/>
          <w:rFonts w:ascii="Times New Roman" w:hAnsi="Times New Roman" w:cs="Times New Roman"/>
          <w:b/>
          <w:bCs/>
          <w:i/>
        </w:rPr>
      </w:pPr>
    </w:p>
    <w:p w14:paraId="3C3D9D27" w14:textId="77777777" w:rsidR="0035193D" w:rsidRDefault="00530B67" w:rsidP="00747A2C">
      <w:pPr>
        <w:jc w:val="both"/>
        <w:rPr>
          <w:rStyle w:val="hgkelc"/>
          <w:b/>
          <w:i/>
        </w:rPr>
      </w:pPr>
      <w:r w:rsidRPr="00C84C0B">
        <w:rPr>
          <w:rStyle w:val="hgkelc"/>
          <w:b/>
          <w:bCs/>
          <w:sz w:val="24"/>
        </w:rPr>
        <w:t>Kohezní politika</w:t>
      </w:r>
      <w:r w:rsidRPr="00C84C0B">
        <w:rPr>
          <w:rStyle w:val="hgkelc"/>
          <w:sz w:val="24"/>
        </w:rPr>
        <w:t xml:space="preserve"> </w:t>
      </w:r>
      <w:r w:rsidRPr="00C84C0B">
        <w:rPr>
          <w:rStyle w:val="hgkelc"/>
          <w:b/>
          <w:sz w:val="24"/>
        </w:rPr>
        <w:t>EU</w:t>
      </w:r>
      <w:r>
        <w:rPr>
          <w:rStyle w:val="hgkelc"/>
        </w:rPr>
        <w:t xml:space="preserve">, neboli </w:t>
      </w:r>
      <w:r>
        <w:rPr>
          <w:rStyle w:val="hgkelc"/>
          <w:b/>
          <w:bCs/>
        </w:rPr>
        <w:t>politika</w:t>
      </w:r>
      <w:r>
        <w:rPr>
          <w:rStyle w:val="hgkelc"/>
        </w:rPr>
        <w:t xml:space="preserve"> hospodářské, sociální a územní soudržnosti EU, je politikou, jejímž cílem je </w:t>
      </w:r>
      <w:r w:rsidRPr="00530B67">
        <w:rPr>
          <w:rStyle w:val="hgkelc"/>
          <w:b/>
          <w:i/>
        </w:rPr>
        <w:t>snižování rozdílů mezi úrovní rozvoje různých regionů, snížení zaostalosti nejvíce znevýhodněných regionů a posilování hospodářské, sociální a územní soudržnosti za účelem harmonického vývoje Evropské unie.</w:t>
      </w:r>
      <w:r w:rsidR="00C84C0B" w:rsidRPr="00C84C0B">
        <w:rPr>
          <w:rStyle w:val="hgkelc"/>
        </w:rPr>
        <w:t xml:space="preserve"> </w:t>
      </w:r>
      <w:r w:rsidR="00C84C0B">
        <w:rPr>
          <w:rStyle w:val="hgkelc"/>
        </w:rPr>
        <w:t>Vě</w:t>
      </w:r>
      <w:r w:rsidR="00C84C0B">
        <w:t>tšina vyspělých evropských zemí poskytuje zaostalým, nerozvinutým, či jinak strukturálně postiženým obcím a městům či oblastem vyrovnávací příspěvek. Ten zohledňuje demografické, sociální, ekonomické, geografické, historické, environmentální či jiné příčiny zaostávání. Příspěvek je poskytován přímo do rozpočtu těchto jednotek, a to předvídatelně, programově a dlouhodobě.</w:t>
      </w:r>
    </w:p>
    <w:p w14:paraId="22C2ADD2" w14:textId="77777777" w:rsidR="006C0A35" w:rsidRDefault="00747A2C" w:rsidP="00C84C0B">
      <w:pPr>
        <w:pStyle w:val="perex"/>
        <w:spacing w:before="0" w:beforeAutospacing="0" w:after="0" w:afterAutospacing="0"/>
        <w:rPr>
          <w:rStyle w:val="hgkelc"/>
          <w:sz w:val="22"/>
        </w:rPr>
      </w:pPr>
      <w:r w:rsidRPr="00C84C0B">
        <w:rPr>
          <w:rStyle w:val="hgkelc"/>
          <w:rFonts w:asciiTheme="minorHAnsi" w:hAnsiTheme="minorHAnsi" w:cstheme="minorHAnsi"/>
          <w:b/>
          <w:sz w:val="22"/>
        </w:rPr>
        <w:t>Regionální politika České republiky</w:t>
      </w:r>
      <w:r w:rsidRPr="00C84C0B">
        <w:rPr>
          <w:rStyle w:val="hgkelc"/>
          <w:b/>
          <w:sz w:val="22"/>
        </w:rPr>
        <w:t xml:space="preserve"> </w:t>
      </w:r>
      <w:r w:rsidRPr="00C84C0B">
        <w:rPr>
          <w:rStyle w:val="hgkelc"/>
          <w:sz w:val="22"/>
        </w:rPr>
        <w:t xml:space="preserve">je naopak nastavena na </w:t>
      </w:r>
      <w:r w:rsidRPr="00C84C0B">
        <w:rPr>
          <w:rStyle w:val="hgkelc"/>
          <w:b/>
          <w:i/>
          <w:sz w:val="22"/>
        </w:rPr>
        <w:t xml:space="preserve">rozdělení společnosti na chudé a bohaté, preferované regiony. </w:t>
      </w:r>
      <w:r w:rsidRPr="00C84C0B">
        <w:rPr>
          <w:rStyle w:val="hgkelc"/>
          <w:sz w:val="22"/>
        </w:rPr>
        <w:t xml:space="preserve"> Nástrojem tohoto rozdělení bylo </w:t>
      </w:r>
      <w:r w:rsidR="00241399">
        <w:rPr>
          <w:rStyle w:val="hgkelc"/>
          <w:sz w:val="22"/>
        </w:rPr>
        <w:t xml:space="preserve">především </w:t>
      </w:r>
      <w:r w:rsidRPr="00C84C0B">
        <w:rPr>
          <w:rStyle w:val="hgkelc"/>
          <w:sz w:val="22"/>
        </w:rPr>
        <w:t>zavedení tzv.</w:t>
      </w:r>
      <w:r w:rsidR="006C0A35" w:rsidRPr="00C84C0B">
        <w:rPr>
          <w:rStyle w:val="hgkelc"/>
          <w:sz w:val="22"/>
        </w:rPr>
        <w:t xml:space="preserve"> koeficientů velkých </w:t>
      </w:r>
      <w:r w:rsidR="00231845" w:rsidRPr="00C84C0B">
        <w:rPr>
          <w:rStyle w:val="hgkelc"/>
          <w:sz w:val="22"/>
        </w:rPr>
        <w:t>měst</w:t>
      </w:r>
      <w:r w:rsidR="005930AA">
        <w:rPr>
          <w:rStyle w:val="hgkelc"/>
          <w:sz w:val="22"/>
        </w:rPr>
        <w:t xml:space="preserve"> v souvislosti se vznikem krajů v roce 2000 a dnes nemá prakticky žádné opodstatnění.</w:t>
      </w:r>
      <w:r w:rsidR="00C84C0B" w:rsidRPr="00C84C0B">
        <w:rPr>
          <w:rStyle w:val="hgkelc"/>
          <w:sz w:val="22"/>
        </w:rPr>
        <w:t xml:space="preserve"> </w:t>
      </w:r>
      <w:r w:rsidR="00231845" w:rsidRPr="00C84C0B">
        <w:rPr>
          <w:rStyle w:val="hgkelc"/>
          <w:sz w:val="22"/>
        </w:rPr>
        <w:t xml:space="preserve"> </w:t>
      </w:r>
    </w:p>
    <w:p w14:paraId="21932429" w14:textId="77777777" w:rsidR="00241399" w:rsidRPr="00C84C0B" w:rsidRDefault="00241399" w:rsidP="00C84C0B">
      <w:pPr>
        <w:pStyle w:val="perex"/>
        <w:spacing w:before="0" w:beforeAutospacing="0" w:after="0" w:afterAutospacing="0"/>
        <w:rPr>
          <w:sz w:val="22"/>
        </w:rPr>
      </w:pPr>
    </w:p>
    <w:p w14:paraId="24DF0EB0" w14:textId="77777777" w:rsidR="00983F86" w:rsidRPr="007161C3" w:rsidRDefault="006C0A35" w:rsidP="00983F86">
      <w:pPr>
        <w:jc w:val="both"/>
        <w:rPr>
          <w:rFonts w:cstheme="minorHAnsi"/>
        </w:rPr>
      </w:pPr>
      <w:r w:rsidRPr="006175CD">
        <w:rPr>
          <w:rFonts w:cstheme="minorHAnsi"/>
        </w:rPr>
        <w:t xml:space="preserve">V České republice je dlouhodobě existence problému zaostávajících regionů pouze konstatována a nepřichází žádný koncept řešící příčiny, a nikoliv jen dílčí důsledky prohlubujícího se rozdílu mezi chudými, zaostávajícími a problémovými regiony z méně problémové většiny území státu. </w:t>
      </w:r>
      <w:r w:rsidR="00E37D60" w:rsidRPr="006175CD">
        <w:rPr>
          <w:rFonts w:cstheme="minorHAnsi"/>
        </w:rPr>
        <w:t>Příčina spoč</w:t>
      </w:r>
      <w:r w:rsidR="00E37D60" w:rsidRPr="007161C3">
        <w:rPr>
          <w:rFonts w:cstheme="minorHAnsi"/>
        </w:rPr>
        <w:t xml:space="preserve">ívá v koeficientu tzv. velkých měst a </w:t>
      </w:r>
      <w:r w:rsidR="00E37D60" w:rsidRPr="007161C3">
        <w:rPr>
          <w:rStyle w:val="hgkelc"/>
          <w:rFonts w:cstheme="minorHAnsi"/>
        </w:rPr>
        <w:t xml:space="preserve">principu odvodu daní v sídle firmy, které může být jinde, než kde probíhá výrobní činnost.  Z velkých </w:t>
      </w:r>
      <w:r w:rsidR="00231845" w:rsidRPr="007161C3">
        <w:rPr>
          <w:rStyle w:val="hgkelc"/>
          <w:rFonts w:cstheme="minorHAnsi"/>
        </w:rPr>
        <w:t>firem uveďme jako příklad ČEZ.  To je např. v</w:t>
      </w:r>
      <w:r w:rsidR="00797FF9">
        <w:rPr>
          <w:rStyle w:val="hgkelc"/>
          <w:rFonts w:cstheme="minorHAnsi"/>
        </w:rPr>
        <w:t xml:space="preserve"> sousední </w:t>
      </w:r>
      <w:r w:rsidR="00231845" w:rsidRPr="007161C3">
        <w:rPr>
          <w:rStyle w:val="hgkelc"/>
          <w:rFonts w:cstheme="minorHAnsi"/>
        </w:rPr>
        <w:t xml:space="preserve">SRN zakázáno a od určitého obratu je příslušným daňovým úřadem regionální </w:t>
      </w:r>
      <w:r w:rsidR="00797FF9">
        <w:rPr>
          <w:rStyle w:val="hgkelc"/>
          <w:rFonts w:cstheme="minorHAnsi"/>
        </w:rPr>
        <w:t xml:space="preserve">finanční </w:t>
      </w:r>
      <w:r w:rsidR="00231845" w:rsidRPr="007161C3">
        <w:rPr>
          <w:rStyle w:val="hgkelc"/>
          <w:rFonts w:cstheme="minorHAnsi"/>
        </w:rPr>
        <w:t xml:space="preserve">úřad v místě pobočky, výrobního závodu. </w:t>
      </w:r>
    </w:p>
    <w:p w14:paraId="1C434EF4" w14:textId="77777777" w:rsidR="00412310" w:rsidRPr="00797FF9" w:rsidRDefault="00412310" w:rsidP="00797FF9">
      <w:pPr>
        <w:shd w:val="clear" w:color="auto" w:fill="FFFFFF"/>
        <w:spacing w:after="0" w:line="240" w:lineRule="auto"/>
        <w:outlineLvl w:val="4"/>
        <w:rPr>
          <w:rFonts w:eastAsia="Times New Roman" w:cstheme="minorHAnsi"/>
          <w:b/>
          <w:bCs/>
          <w:color w:val="212529"/>
          <w:sz w:val="24"/>
          <w:szCs w:val="20"/>
          <w:lang w:eastAsia="cs-CZ"/>
        </w:rPr>
      </w:pPr>
      <w:r w:rsidRPr="00797FF9">
        <w:rPr>
          <w:rFonts w:eastAsia="Times New Roman" w:cstheme="minorHAnsi"/>
          <w:b/>
          <w:bCs/>
          <w:color w:val="212529"/>
          <w:sz w:val="24"/>
          <w:szCs w:val="20"/>
          <w:lang w:eastAsia="cs-CZ"/>
        </w:rPr>
        <w:t>Přepočítací koeficienty velkých měst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73"/>
        <w:gridCol w:w="1107"/>
        <w:gridCol w:w="1276"/>
        <w:gridCol w:w="1040"/>
        <w:gridCol w:w="3354"/>
      </w:tblGrid>
      <w:tr w:rsidR="00412310" w:rsidRPr="000545BD" w14:paraId="1A201444" w14:textId="77777777" w:rsidTr="00797FF9">
        <w:tc>
          <w:tcPr>
            <w:tcW w:w="2880" w:type="dxa"/>
            <w:gridSpan w:val="2"/>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5D38B863" w14:textId="77777777" w:rsidR="00412310" w:rsidRPr="000545BD" w:rsidRDefault="00412310" w:rsidP="00210821">
            <w:pPr>
              <w:spacing w:after="0" w:line="240" w:lineRule="auto"/>
              <w:rPr>
                <w:rFonts w:eastAsia="Times New Roman" w:cstheme="minorHAnsi"/>
                <w:b/>
                <w:bCs/>
                <w:color w:val="212529"/>
                <w:sz w:val="20"/>
                <w:szCs w:val="24"/>
                <w:lang w:eastAsia="cs-CZ"/>
              </w:rPr>
            </w:pPr>
            <w:r w:rsidRPr="000545BD">
              <w:rPr>
                <w:rFonts w:eastAsia="Times New Roman" w:cstheme="minorHAnsi"/>
                <w:b/>
                <w:bCs/>
                <w:color w:val="212529"/>
                <w:sz w:val="20"/>
                <w:szCs w:val="24"/>
                <w:lang w:eastAsia="cs-CZ"/>
              </w:rPr>
              <w:t>Přepočítací koeficienty</w:t>
            </w:r>
          </w:p>
        </w:tc>
        <w:tc>
          <w:tcPr>
            <w:tcW w:w="1276"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64068E52" w14:textId="77777777" w:rsidR="00412310" w:rsidRPr="000545BD" w:rsidRDefault="00412310" w:rsidP="00210821">
            <w:pPr>
              <w:spacing w:after="0" w:line="240" w:lineRule="auto"/>
              <w:rPr>
                <w:rFonts w:eastAsia="Times New Roman" w:cstheme="minorHAnsi"/>
                <w:b/>
                <w:bCs/>
                <w:color w:val="212529"/>
                <w:sz w:val="20"/>
                <w:szCs w:val="24"/>
                <w:lang w:eastAsia="cs-CZ"/>
              </w:rPr>
            </w:pPr>
            <w:r w:rsidRPr="000545BD">
              <w:rPr>
                <w:rFonts w:eastAsia="Times New Roman" w:cstheme="minorHAnsi"/>
                <w:b/>
                <w:bCs/>
                <w:color w:val="212529"/>
                <w:sz w:val="20"/>
                <w:szCs w:val="24"/>
                <w:lang w:eastAsia="cs-CZ"/>
              </w:rPr>
              <w:t>Počet obyvatel</w:t>
            </w:r>
          </w:p>
        </w:tc>
        <w:tc>
          <w:tcPr>
            <w:tcW w:w="1040"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6A8ED041" w14:textId="77777777" w:rsidR="00412310" w:rsidRPr="000545BD" w:rsidRDefault="00412310" w:rsidP="00210821">
            <w:pPr>
              <w:spacing w:after="0" w:line="240" w:lineRule="auto"/>
              <w:rPr>
                <w:rFonts w:eastAsia="Times New Roman" w:cstheme="minorHAnsi"/>
                <w:b/>
                <w:bCs/>
                <w:color w:val="212529"/>
                <w:sz w:val="20"/>
                <w:szCs w:val="24"/>
                <w:lang w:eastAsia="cs-CZ"/>
              </w:rPr>
            </w:pPr>
            <w:r w:rsidRPr="000545BD">
              <w:rPr>
                <w:rFonts w:eastAsia="Times New Roman" w:cstheme="minorHAnsi"/>
                <w:b/>
                <w:bCs/>
                <w:color w:val="212529"/>
                <w:sz w:val="20"/>
                <w:szCs w:val="24"/>
                <w:lang w:eastAsia="cs-CZ"/>
              </w:rPr>
              <w:t>Násobek</w:t>
            </w:r>
          </w:p>
        </w:tc>
        <w:tc>
          <w:tcPr>
            <w:tcW w:w="3354"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03D8401C" w14:textId="77777777" w:rsidR="00412310" w:rsidRPr="000545BD" w:rsidRDefault="00412310" w:rsidP="00210821">
            <w:pPr>
              <w:spacing w:after="0" w:line="240" w:lineRule="auto"/>
              <w:rPr>
                <w:rFonts w:eastAsia="Times New Roman" w:cstheme="minorHAnsi"/>
                <w:b/>
                <w:bCs/>
                <w:color w:val="212529"/>
                <w:sz w:val="20"/>
                <w:szCs w:val="24"/>
                <w:lang w:eastAsia="cs-CZ"/>
              </w:rPr>
            </w:pPr>
            <w:r w:rsidRPr="000545BD">
              <w:rPr>
                <w:rFonts w:eastAsia="Times New Roman" w:cstheme="minorHAnsi"/>
                <w:b/>
                <w:bCs/>
                <w:color w:val="212529"/>
                <w:sz w:val="20"/>
                <w:szCs w:val="24"/>
                <w:lang w:eastAsia="cs-CZ"/>
              </w:rPr>
              <w:t>Podíl na sdílených daních ( %)</w:t>
            </w:r>
          </w:p>
        </w:tc>
      </w:tr>
      <w:tr w:rsidR="00412310" w:rsidRPr="000545BD" w14:paraId="23FD71C6" w14:textId="77777777" w:rsidTr="00797FF9">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BB640FB" w14:textId="77777777" w:rsidR="00412310" w:rsidRPr="000545BD" w:rsidRDefault="00412310" w:rsidP="00210821">
            <w:pPr>
              <w:spacing w:after="0" w:line="240" w:lineRule="auto"/>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Hl. m. Praha</w:t>
            </w:r>
          </w:p>
        </w:tc>
        <w:tc>
          <w:tcPr>
            <w:tcW w:w="1107"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9E7B393"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4,0151</w:t>
            </w:r>
          </w:p>
        </w:tc>
        <w:tc>
          <w:tcPr>
            <w:tcW w:w="1276"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8E0F8CD"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1 170571</w:t>
            </w:r>
          </w:p>
        </w:tc>
        <w:tc>
          <w:tcPr>
            <w:tcW w:w="1040"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9B5A79C"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4 699 960</w:t>
            </w:r>
          </w:p>
        </w:tc>
        <w:tc>
          <w:tcPr>
            <w:tcW w:w="335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8EC1564"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31,433341</w:t>
            </w:r>
          </w:p>
        </w:tc>
      </w:tr>
      <w:tr w:rsidR="00412310" w:rsidRPr="000545BD" w14:paraId="2FE79053" w14:textId="77777777" w:rsidTr="00797FF9">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D02879B" w14:textId="77777777" w:rsidR="00412310" w:rsidRPr="000545BD" w:rsidRDefault="00412310" w:rsidP="00210821">
            <w:pPr>
              <w:spacing w:after="0" w:line="240" w:lineRule="auto"/>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Brno, Ostrava, Plzeň</w:t>
            </w:r>
          </w:p>
        </w:tc>
        <w:tc>
          <w:tcPr>
            <w:tcW w:w="1107"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5191481"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2,4307</w:t>
            </w:r>
          </w:p>
        </w:tc>
        <w:tc>
          <w:tcPr>
            <w:tcW w:w="1276"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E3498D7"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841 758</w:t>
            </w:r>
          </w:p>
        </w:tc>
        <w:tc>
          <w:tcPr>
            <w:tcW w:w="1040"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2D8533D"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2 046 061</w:t>
            </w:r>
          </w:p>
        </w:tc>
        <w:tc>
          <w:tcPr>
            <w:tcW w:w="335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FFE0A8C"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13,684060</w:t>
            </w:r>
          </w:p>
        </w:tc>
      </w:tr>
      <w:tr w:rsidR="00412310" w:rsidRPr="000545BD" w14:paraId="2696C48D" w14:textId="77777777" w:rsidTr="00797FF9">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1989678" w14:textId="77777777" w:rsidR="00412310" w:rsidRPr="000545BD" w:rsidRDefault="00412310" w:rsidP="00210821">
            <w:pPr>
              <w:spacing w:after="0" w:line="240" w:lineRule="auto"/>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Ostatní obce</w:t>
            </w:r>
          </w:p>
        </w:tc>
        <w:tc>
          <w:tcPr>
            <w:tcW w:w="1107"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5D15D06"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1,000</w:t>
            </w:r>
          </w:p>
        </w:tc>
        <w:tc>
          <w:tcPr>
            <w:tcW w:w="1276"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BEA8A71"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8 206 128</w:t>
            </w:r>
          </w:p>
        </w:tc>
        <w:tc>
          <w:tcPr>
            <w:tcW w:w="1040"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FCDF408"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8 206 128</w:t>
            </w:r>
          </w:p>
        </w:tc>
        <w:tc>
          <w:tcPr>
            <w:tcW w:w="335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B17AEBA"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54,882599</w:t>
            </w:r>
          </w:p>
        </w:tc>
      </w:tr>
      <w:tr w:rsidR="00412310" w:rsidRPr="000545BD" w14:paraId="065AAA6D" w14:textId="77777777" w:rsidTr="00797FF9">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0FF2ACC" w14:textId="77777777" w:rsidR="00412310" w:rsidRPr="000545BD" w:rsidRDefault="00412310" w:rsidP="00210821">
            <w:pPr>
              <w:spacing w:after="0" w:line="240" w:lineRule="auto"/>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Celkem</w:t>
            </w:r>
          </w:p>
        </w:tc>
        <w:tc>
          <w:tcPr>
            <w:tcW w:w="1107"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81971DB"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color w:val="212529"/>
                <w:sz w:val="20"/>
                <w:szCs w:val="24"/>
                <w:lang w:eastAsia="cs-CZ"/>
              </w:rPr>
              <w:t> </w:t>
            </w:r>
          </w:p>
        </w:tc>
        <w:tc>
          <w:tcPr>
            <w:tcW w:w="1276"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331BCAB"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10 218 457</w:t>
            </w:r>
          </w:p>
        </w:tc>
        <w:tc>
          <w:tcPr>
            <w:tcW w:w="1040"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61FD6D3"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14 952 149</w:t>
            </w:r>
          </w:p>
        </w:tc>
        <w:tc>
          <w:tcPr>
            <w:tcW w:w="335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E8102F2" w14:textId="77777777" w:rsidR="00412310" w:rsidRPr="000545BD" w:rsidRDefault="00412310" w:rsidP="00210821">
            <w:pPr>
              <w:spacing w:after="0" w:line="240" w:lineRule="auto"/>
              <w:jc w:val="right"/>
              <w:rPr>
                <w:rFonts w:eastAsia="Times New Roman" w:cstheme="minorHAnsi"/>
                <w:color w:val="212529"/>
                <w:sz w:val="20"/>
                <w:szCs w:val="24"/>
                <w:lang w:eastAsia="cs-CZ"/>
              </w:rPr>
            </w:pPr>
            <w:r w:rsidRPr="000545BD">
              <w:rPr>
                <w:rFonts w:eastAsia="Times New Roman" w:cstheme="minorHAnsi"/>
                <w:b/>
                <w:bCs/>
                <w:color w:val="212529"/>
                <w:sz w:val="20"/>
                <w:szCs w:val="24"/>
                <w:lang w:eastAsia="cs-CZ"/>
              </w:rPr>
              <w:t>100,000000</w:t>
            </w:r>
          </w:p>
        </w:tc>
      </w:tr>
    </w:tbl>
    <w:p w14:paraId="5F48C707" w14:textId="77777777" w:rsidR="006175CD" w:rsidRPr="007161C3" w:rsidRDefault="006175CD" w:rsidP="006175CD">
      <w:pPr>
        <w:spacing w:after="0" w:line="240" w:lineRule="auto"/>
        <w:jc w:val="both"/>
        <w:rPr>
          <w:rStyle w:val="hgkelc"/>
          <w:rFonts w:cstheme="minorHAnsi"/>
        </w:rPr>
      </w:pPr>
      <w:r w:rsidRPr="007161C3">
        <w:rPr>
          <w:rFonts w:cstheme="minorHAnsi"/>
          <w:noProof/>
          <w:lang w:eastAsia="cs-CZ"/>
        </w:rPr>
        <w:drawing>
          <wp:inline distT="0" distB="0" distL="0" distR="0" wp14:anchorId="7269F660" wp14:editId="661DBB88">
            <wp:extent cx="5514134" cy="2716188"/>
            <wp:effectExtent l="0" t="0" r="0" b="8255"/>
            <wp:docPr id="1" name="Obrázek 1" descr="cid:image003.png@01DAE681.6883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3.png@01DAE681.688335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93" cy="2716611"/>
                    </a:xfrm>
                    <a:prstGeom prst="rect">
                      <a:avLst/>
                    </a:prstGeom>
                    <a:noFill/>
                    <a:ln>
                      <a:noFill/>
                    </a:ln>
                  </pic:spPr>
                </pic:pic>
              </a:graphicData>
            </a:graphic>
          </wp:inline>
        </w:drawing>
      </w:r>
    </w:p>
    <w:p w14:paraId="06083090" w14:textId="77777777" w:rsidR="006175CD" w:rsidRPr="007161C3" w:rsidRDefault="00412310" w:rsidP="006175CD">
      <w:pPr>
        <w:spacing w:after="0" w:line="240" w:lineRule="auto"/>
        <w:jc w:val="both"/>
        <w:rPr>
          <w:rStyle w:val="hgkelc"/>
          <w:rFonts w:cstheme="minorHAnsi"/>
        </w:rPr>
      </w:pPr>
      <w:r w:rsidRPr="007161C3">
        <w:rPr>
          <w:rStyle w:val="hgkelc"/>
          <w:rFonts w:cstheme="minorHAnsi"/>
        </w:rPr>
        <w:lastRenderedPageBreak/>
        <w:t xml:space="preserve">U malých společností v ČR je módní přihlášení firmy na poštovní adresu v Praze z důvodu menší pravděpodobnosti daňové kontroly.  </w:t>
      </w:r>
    </w:p>
    <w:p w14:paraId="033BAFB3" w14:textId="77777777" w:rsidR="007161C3" w:rsidRPr="007161C3" w:rsidRDefault="007161C3" w:rsidP="006175CD">
      <w:pPr>
        <w:spacing w:after="0" w:line="240" w:lineRule="auto"/>
        <w:jc w:val="both"/>
        <w:rPr>
          <w:rStyle w:val="hgkelc"/>
          <w:rFonts w:cstheme="minorHAnsi"/>
        </w:rPr>
      </w:pPr>
    </w:p>
    <w:p w14:paraId="23D02006" w14:textId="77777777" w:rsidR="007F00C2" w:rsidRDefault="00412310" w:rsidP="006175CD">
      <w:pPr>
        <w:spacing w:after="0" w:line="240" w:lineRule="auto"/>
        <w:jc w:val="both"/>
        <w:rPr>
          <w:rFonts w:cstheme="minorHAnsi"/>
        </w:rPr>
      </w:pPr>
      <w:r w:rsidRPr="007161C3">
        <w:rPr>
          <w:rStyle w:val="hgkelc"/>
          <w:rFonts w:cstheme="minorHAnsi"/>
        </w:rPr>
        <w:t>Z toho vzniká do očí bijící nerovnost rozdělování společnosti na chudou a bohatou část státu.</w:t>
      </w:r>
      <w:r w:rsidRPr="007161C3">
        <w:rPr>
          <w:rFonts w:cstheme="minorHAnsi"/>
        </w:rPr>
        <w:t xml:space="preserve"> V Čechách vznikl v rámci rozdělování daní opačný </w:t>
      </w:r>
      <w:r w:rsidR="00797FF9">
        <w:rPr>
          <w:rFonts w:cstheme="minorHAnsi"/>
        </w:rPr>
        <w:t xml:space="preserve">antikohezní </w:t>
      </w:r>
      <w:r w:rsidRPr="007161C3">
        <w:rPr>
          <w:rFonts w:cstheme="minorHAnsi"/>
        </w:rPr>
        <w:t xml:space="preserve">přístup a český daňový Jánošík srdnatě okrádá ty nejchudší ve prospěch těch nejbohatších.  </w:t>
      </w:r>
    </w:p>
    <w:p w14:paraId="0269504A" w14:textId="77777777" w:rsidR="00231845" w:rsidRPr="007161C3" w:rsidRDefault="00231845" w:rsidP="006175CD">
      <w:pPr>
        <w:spacing w:after="0" w:line="240" w:lineRule="auto"/>
        <w:jc w:val="both"/>
        <w:rPr>
          <w:rFonts w:cstheme="minorHAnsi"/>
          <w:color w:val="212529"/>
          <w:shd w:val="clear" w:color="auto" w:fill="FFFFFF"/>
        </w:rPr>
      </w:pPr>
      <w:r w:rsidRPr="007161C3">
        <w:rPr>
          <w:rFonts w:cstheme="minorHAnsi"/>
          <w:color w:val="212529"/>
          <w:shd w:val="clear" w:color="auto" w:fill="FFFFFF"/>
        </w:rPr>
        <w:t>Základem je </w:t>
      </w:r>
      <w:r w:rsidRPr="007161C3">
        <w:rPr>
          <w:rStyle w:val="Siln"/>
          <w:rFonts w:cstheme="minorHAnsi"/>
          <w:color w:val="212529"/>
          <w:shd w:val="clear" w:color="auto" w:fill="FFFFFF"/>
        </w:rPr>
        <w:t>podfinancování rozpočtů znevýhodněných obcí a měst</w:t>
      </w:r>
      <w:r w:rsidRPr="007161C3">
        <w:rPr>
          <w:rFonts w:cstheme="minorHAnsi"/>
          <w:color w:val="212529"/>
          <w:shd w:val="clear" w:color="auto" w:fill="FFFFFF"/>
        </w:rPr>
        <w:t> těchto regionů, které primárně řeší důsledky sociální, ekonomické a demografické situace, spojené s úbytkem práceschopného a vzdělanějšího obyvatelstva, doprovázeném masivním a neregulovaným příchodem sociálně potřebných obyvatel. To přináší všechna negativa, spojená s jejich způsobem života a sekundárně vznikajícím obchodem s chudobou, což musí řešit územní orgány, kterým se pak nedostává prostředků na potřebné rozvojové aktivity a zajištění standardní úrovně služeb a kvality života. Zejména mladá generace pak nemá motivaci zůstávat v těchto regionech a odchází za lepším životem ve velkých městech.</w:t>
      </w:r>
    </w:p>
    <w:p w14:paraId="1D39E3A7" w14:textId="77777777" w:rsidR="007161C3" w:rsidRDefault="007161C3" w:rsidP="006175CD">
      <w:pPr>
        <w:spacing w:after="0" w:line="240" w:lineRule="auto"/>
        <w:jc w:val="both"/>
        <w:rPr>
          <w:rFonts w:cstheme="minorHAnsi"/>
        </w:rPr>
      </w:pPr>
    </w:p>
    <w:p w14:paraId="50DF3D0F" w14:textId="77777777" w:rsidR="00F64540" w:rsidRPr="00F64540" w:rsidRDefault="00F64540" w:rsidP="006175CD">
      <w:pPr>
        <w:spacing w:after="0" w:line="240" w:lineRule="auto"/>
        <w:jc w:val="both"/>
        <w:rPr>
          <w:rFonts w:cstheme="minorHAnsi"/>
          <w:sz w:val="28"/>
        </w:rPr>
      </w:pPr>
      <w:r w:rsidRPr="00F64540">
        <w:rPr>
          <w:rFonts w:cstheme="minorHAnsi"/>
          <w:sz w:val="28"/>
        </w:rPr>
        <w:t>Nebezpečí vnitřní migrace</w:t>
      </w:r>
    </w:p>
    <w:p w14:paraId="1F364C8E" w14:textId="77777777" w:rsidR="00B454FB" w:rsidRPr="007161C3" w:rsidRDefault="00B454FB" w:rsidP="00B454FB">
      <w:pPr>
        <w:spacing w:after="0" w:line="240" w:lineRule="auto"/>
        <w:jc w:val="both"/>
        <w:rPr>
          <w:rFonts w:cstheme="minorHAnsi"/>
        </w:rPr>
      </w:pPr>
      <w:r w:rsidRPr="007161C3">
        <w:rPr>
          <w:rFonts w:cstheme="minorHAnsi"/>
        </w:rPr>
        <w:t xml:space="preserve">To lze dokumentovat na migraci obyvatel, které s sebou regionální rozdíly automaticky přinášejí. Dovolím si ze statistiky SMO uvést </w:t>
      </w:r>
      <w:r w:rsidR="0057614B" w:rsidRPr="007161C3">
        <w:rPr>
          <w:rFonts w:cstheme="minorHAnsi"/>
        </w:rPr>
        <w:t xml:space="preserve">např. </w:t>
      </w:r>
      <w:r w:rsidRPr="007161C3">
        <w:rPr>
          <w:rFonts w:cstheme="minorHAnsi"/>
        </w:rPr>
        <w:t xml:space="preserve">údaj </w:t>
      </w:r>
      <w:r w:rsidRPr="005930AA">
        <w:rPr>
          <w:rFonts w:cstheme="minorHAnsi"/>
          <w:b/>
        </w:rPr>
        <w:t>Ústeckého kraje  za rok 2023</w:t>
      </w:r>
      <w:r w:rsidRPr="007161C3">
        <w:rPr>
          <w:rFonts w:cstheme="minorHAnsi"/>
        </w:rPr>
        <w:t xml:space="preserve">:   </w:t>
      </w:r>
    </w:p>
    <w:p w14:paraId="0123B0D7" w14:textId="77777777" w:rsidR="006175CD" w:rsidRPr="007161C3" w:rsidRDefault="006175CD" w:rsidP="00B454FB">
      <w:pPr>
        <w:spacing w:after="0" w:line="240" w:lineRule="auto"/>
        <w:jc w:val="both"/>
        <w:rPr>
          <w:rFonts w:cstheme="minorHAnsi"/>
        </w:rPr>
      </w:pPr>
    </w:p>
    <w:p w14:paraId="5143E5FF" w14:textId="77777777" w:rsidR="00B454FB" w:rsidRPr="007161C3" w:rsidRDefault="00B454FB" w:rsidP="00B454FB">
      <w:pPr>
        <w:spacing w:after="0" w:line="240" w:lineRule="auto"/>
        <w:jc w:val="both"/>
        <w:rPr>
          <w:rFonts w:cstheme="minorHAnsi"/>
        </w:rPr>
      </w:pPr>
      <w:r w:rsidRPr="007161C3">
        <w:rPr>
          <w:rFonts w:cstheme="minorHAnsi"/>
        </w:rPr>
        <w:t xml:space="preserve">Vnitřní migrace obyvatel         6191 se  přistěhovalo            7082 se vystěhovalo </w:t>
      </w:r>
    </w:p>
    <w:p w14:paraId="34DB42D4" w14:textId="77777777" w:rsidR="00B454FB" w:rsidRPr="007161C3" w:rsidRDefault="00B454FB" w:rsidP="00B454FB">
      <w:pPr>
        <w:spacing w:after="0" w:line="240" w:lineRule="auto"/>
        <w:jc w:val="both"/>
        <w:rPr>
          <w:rFonts w:cstheme="minorHAnsi"/>
        </w:rPr>
      </w:pPr>
      <w:r w:rsidRPr="007161C3">
        <w:rPr>
          <w:rFonts w:cstheme="minorHAnsi"/>
        </w:rPr>
        <w:t>Zahraniční migrace                   6007 se  přistěhovalo            3099 se vystěhovalo</w:t>
      </w:r>
    </w:p>
    <w:p w14:paraId="5A9F8021" w14:textId="77777777" w:rsidR="00B454FB" w:rsidRPr="007161C3" w:rsidRDefault="00B454FB" w:rsidP="00B454FB">
      <w:pPr>
        <w:spacing w:after="0" w:line="240" w:lineRule="auto"/>
        <w:jc w:val="both"/>
        <w:rPr>
          <w:rFonts w:cstheme="minorHAnsi"/>
        </w:rPr>
      </w:pPr>
      <w:r w:rsidRPr="007161C3">
        <w:rPr>
          <w:rFonts w:cstheme="minorHAnsi"/>
        </w:rPr>
        <w:t>Přirozený úbytek obyvatel (saldo narozených a zemřelých)  - 3185</w:t>
      </w:r>
    </w:p>
    <w:p w14:paraId="340345E9" w14:textId="77777777" w:rsidR="006175CD" w:rsidRPr="007161C3" w:rsidRDefault="006175CD" w:rsidP="00B454FB">
      <w:pPr>
        <w:spacing w:after="0" w:line="240" w:lineRule="auto"/>
        <w:jc w:val="both"/>
        <w:rPr>
          <w:rFonts w:cstheme="minorHAnsi"/>
        </w:rPr>
      </w:pPr>
    </w:p>
    <w:p w14:paraId="7C9DBFE7" w14:textId="77777777" w:rsidR="00CF12DB" w:rsidRPr="00E8393C" w:rsidRDefault="00CF12DB" w:rsidP="00CF12DB">
      <w:pPr>
        <w:spacing w:after="0" w:line="240" w:lineRule="auto"/>
        <w:jc w:val="both"/>
        <w:rPr>
          <w:rFonts w:cstheme="minorHAnsi"/>
          <w:i/>
          <w:szCs w:val="24"/>
        </w:rPr>
      </w:pPr>
      <w:r w:rsidRPr="00E8393C">
        <w:rPr>
          <w:rFonts w:cstheme="minorHAnsi"/>
          <w:szCs w:val="24"/>
        </w:rPr>
        <w:t xml:space="preserve">Poslední makroekonomická analýza jako podklad pro Restrukturalizaci ÚK předpovídá další úbytek 12,5%, tj. 100 000 obyvatel do r. 2050. V některých částech kraje existují prognózy ještě daleko dramatičtějšího úbytku obyvatel v příštích 20 letech s nedozírnými důsledky na vývoj daných lokalit. </w:t>
      </w:r>
    </w:p>
    <w:p w14:paraId="4AD7ECF7" w14:textId="77777777" w:rsidR="007F00C2" w:rsidRDefault="00B454FB" w:rsidP="007161C3">
      <w:pPr>
        <w:spacing w:after="0" w:line="240" w:lineRule="auto"/>
        <w:jc w:val="both"/>
        <w:rPr>
          <w:rFonts w:cstheme="minorHAnsi"/>
          <w:color w:val="212529"/>
          <w:shd w:val="clear" w:color="auto" w:fill="FFFFFF"/>
        </w:rPr>
      </w:pPr>
      <w:r w:rsidRPr="005930AA">
        <w:rPr>
          <w:rFonts w:cstheme="minorHAnsi"/>
          <w:b/>
          <w:color w:val="212529"/>
          <w:shd w:val="clear" w:color="auto" w:fill="FFFFFF"/>
        </w:rPr>
        <w:t>Na poměrně silnou vnitřní migraci je nutno pohlížet z perspektivy, kdo do kraje přichází a kdo odchází.</w:t>
      </w:r>
      <w:r w:rsidRPr="007161C3">
        <w:rPr>
          <w:rFonts w:cstheme="minorHAnsi"/>
          <w:color w:val="212529"/>
          <w:shd w:val="clear" w:color="auto" w:fill="FFFFFF"/>
        </w:rPr>
        <w:t xml:space="preserve"> Většinou mohou starostové i primátoři </w:t>
      </w:r>
      <w:r w:rsidR="006175CD" w:rsidRPr="007161C3">
        <w:rPr>
          <w:rFonts w:cstheme="minorHAnsi"/>
          <w:color w:val="212529"/>
          <w:shd w:val="clear" w:color="auto" w:fill="FFFFFF"/>
        </w:rPr>
        <w:t xml:space="preserve">severočeských měst </w:t>
      </w:r>
      <w:r w:rsidRPr="007161C3">
        <w:rPr>
          <w:rFonts w:cstheme="minorHAnsi"/>
          <w:color w:val="212529"/>
          <w:shd w:val="clear" w:color="auto" w:fill="FFFFFF"/>
        </w:rPr>
        <w:t xml:space="preserve">konstatovat, že </w:t>
      </w:r>
      <w:r w:rsidR="007F00C2">
        <w:rPr>
          <w:rFonts w:cstheme="minorHAnsi"/>
          <w:color w:val="212529"/>
          <w:shd w:val="clear" w:color="auto" w:fill="FFFFFF"/>
        </w:rPr>
        <w:t xml:space="preserve">zpravidla </w:t>
      </w:r>
      <w:r w:rsidRPr="007161C3">
        <w:rPr>
          <w:rFonts w:cstheme="minorHAnsi"/>
          <w:color w:val="212529"/>
          <w:shd w:val="clear" w:color="auto" w:fill="FFFFFF"/>
        </w:rPr>
        <w:t xml:space="preserve">odcházejí </w:t>
      </w:r>
      <w:r w:rsidR="007F00C2">
        <w:rPr>
          <w:rFonts w:cstheme="minorHAnsi"/>
          <w:color w:val="212529"/>
          <w:shd w:val="clear" w:color="auto" w:fill="FFFFFF"/>
        </w:rPr>
        <w:t xml:space="preserve"> </w:t>
      </w:r>
      <w:r w:rsidRPr="007161C3">
        <w:rPr>
          <w:rFonts w:cstheme="minorHAnsi"/>
          <w:color w:val="212529"/>
          <w:shd w:val="clear" w:color="auto" w:fill="FFFFFF"/>
        </w:rPr>
        <w:t>mladí, vzdělaní a naopak přicházejí ti, kt</w:t>
      </w:r>
      <w:r w:rsidR="0057614B" w:rsidRPr="007161C3">
        <w:rPr>
          <w:rFonts w:cstheme="minorHAnsi"/>
          <w:color w:val="212529"/>
          <w:shd w:val="clear" w:color="auto" w:fill="FFFFFF"/>
        </w:rPr>
        <w:t xml:space="preserve">eří jsou díky svému problematickému </w:t>
      </w:r>
      <w:r w:rsidR="007161C3" w:rsidRPr="007161C3">
        <w:rPr>
          <w:rFonts w:cstheme="minorHAnsi"/>
          <w:color w:val="212529"/>
          <w:shd w:val="clear" w:color="auto" w:fill="FFFFFF"/>
        </w:rPr>
        <w:t>sociálnímu postavení vytlačováni</w:t>
      </w:r>
      <w:r w:rsidR="0057614B" w:rsidRPr="007161C3">
        <w:rPr>
          <w:rFonts w:cstheme="minorHAnsi"/>
          <w:color w:val="212529"/>
          <w:shd w:val="clear" w:color="auto" w:fill="FFFFFF"/>
        </w:rPr>
        <w:t xml:space="preserve"> z bohatých regionů republiky. K tomu přistupuje faktor vyšší natality jistých skupin obyvatel s nižší adaptivitou na chování většinové společnosti a tím </w:t>
      </w:r>
      <w:r w:rsidR="0057614B" w:rsidRPr="00F64540">
        <w:rPr>
          <w:rFonts w:cstheme="minorHAnsi"/>
          <w:b/>
          <w:color w:val="212529"/>
          <w:shd w:val="clear" w:color="auto" w:fill="FFFFFF"/>
        </w:rPr>
        <w:t xml:space="preserve">zhoršování kvalitativní sklady obyvatel, která dosáhla v některých lokalitách úrovně, </w:t>
      </w:r>
      <w:r w:rsidR="00797FF9" w:rsidRPr="00F64540">
        <w:rPr>
          <w:rFonts w:cstheme="minorHAnsi"/>
          <w:b/>
          <w:color w:val="212529"/>
          <w:shd w:val="clear" w:color="auto" w:fill="FFFFFF"/>
        </w:rPr>
        <w:t>jejíž</w:t>
      </w:r>
      <w:r w:rsidR="0057614B" w:rsidRPr="00F64540">
        <w:rPr>
          <w:rFonts w:cstheme="minorHAnsi"/>
          <w:b/>
          <w:color w:val="212529"/>
          <w:shd w:val="clear" w:color="auto" w:fill="FFFFFF"/>
        </w:rPr>
        <w:t xml:space="preserve"> důsledky neumí stávající společnost úspěšně řešit.</w:t>
      </w:r>
      <w:r w:rsidR="0057614B" w:rsidRPr="007161C3">
        <w:rPr>
          <w:rFonts w:cstheme="minorHAnsi"/>
          <w:color w:val="212529"/>
          <w:shd w:val="clear" w:color="auto" w:fill="FFFFFF"/>
        </w:rPr>
        <w:t xml:space="preserve"> Právě tato koncentrace chudoby je Damoklovým mečem regionu. </w:t>
      </w:r>
    </w:p>
    <w:p w14:paraId="58AA96DF" w14:textId="77777777" w:rsidR="007161C3" w:rsidRPr="007161C3" w:rsidRDefault="0057614B" w:rsidP="007161C3">
      <w:pPr>
        <w:spacing w:after="0" w:line="240" w:lineRule="auto"/>
        <w:jc w:val="both"/>
        <w:rPr>
          <w:rFonts w:cstheme="minorHAnsi"/>
          <w:color w:val="212529"/>
          <w:shd w:val="clear" w:color="auto" w:fill="FFFFFF"/>
        </w:rPr>
      </w:pPr>
      <w:r w:rsidRPr="007161C3">
        <w:rPr>
          <w:rFonts w:cstheme="minorHAnsi"/>
          <w:color w:val="212529"/>
          <w:shd w:val="clear" w:color="auto" w:fill="FFFFFF"/>
        </w:rPr>
        <w:t xml:space="preserve">V každém společenství je </w:t>
      </w:r>
      <w:r w:rsidR="005930AA">
        <w:rPr>
          <w:rFonts w:cstheme="minorHAnsi"/>
          <w:color w:val="212529"/>
          <w:shd w:val="clear" w:color="auto" w:fill="FFFFFF"/>
        </w:rPr>
        <w:t xml:space="preserve">přirozeně </w:t>
      </w:r>
      <w:r w:rsidRPr="007161C3">
        <w:rPr>
          <w:rFonts w:cstheme="minorHAnsi"/>
          <w:color w:val="212529"/>
          <w:shd w:val="clear" w:color="auto" w:fill="FFFFFF"/>
        </w:rPr>
        <w:t>různorodá skladba obyvatel, méně úspěšných</w:t>
      </w:r>
      <w:r w:rsidR="005507B5">
        <w:rPr>
          <w:rFonts w:cstheme="minorHAnsi"/>
          <w:color w:val="212529"/>
          <w:shd w:val="clear" w:color="auto" w:fill="FFFFFF"/>
        </w:rPr>
        <w:t>, problematických</w:t>
      </w:r>
      <w:r w:rsidRPr="007161C3">
        <w:rPr>
          <w:rFonts w:cstheme="minorHAnsi"/>
          <w:color w:val="212529"/>
          <w:shd w:val="clear" w:color="auto" w:fill="FFFFFF"/>
        </w:rPr>
        <w:t xml:space="preserve"> a těch s vyšším standardem  úrovně vzdělání a </w:t>
      </w:r>
      <w:r w:rsidR="00E362EF" w:rsidRPr="007161C3">
        <w:rPr>
          <w:rFonts w:cstheme="minorHAnsi"/>
          <w:color w:val="212529"/>
          <w:shd w:val="clear" w:color="auto" w:fill="FFFFFF"/>
        </w:rPr>
        <w:t>úspěšnosti</w:t>
      </w:r>
      <w:r w:rsidR="00CF12DB" w:rsidRPr="007161C3">
        <w:rPr>
          <w:rFonts w:cstheme="minorHAnsi"/>
          <w:color w:val="212529"/>
          <w:shd w:val="clear" w:color="auto" w:fill="FFFFFF"/>
        </w:rPr>
        <w:t>, pokud je poměr těchto obyvatel v</w:t>
      </w:r>
      <w:r w:rsidR="007161C3" w:rsidRPr="007161C3">
        <w:rPr>
          <w:rFonts w:cstheme="minorHAnsi"/>
          <w:color w:val="212529"/>
          <w:shd w:val="clear" w:color="auto" w:fill="FFFFFF"/>
        </w:rPr>
        <w:t> </w:t>
      </w:r>
      <w:r w:rsidR="00CF12DB" w:rsidRPr="007161C3">
        <w:rPr>
          <w:rFonts w:cstheme="minorHAnsi"/>
          <w:color w:val="212529"/>
          <w:shd w:val="clear" w:color="auto" w:fill="FFFFFF"/>
        </w:rPr>
        <w:t>obvyklé</w:t>
      </w:r>
      <w:r w:rsidR="007161C3" w:rsidRPr="007161C3">
        <w:rPr>
          <w:rFonts w:cstheme="minorHAnsi"/>
          <w:color w:val="212529"/>
          <w:shd w:val="clear" w:color="auto" w:fill="FFFFFF"/>
        </w:rPr>
        <w:t xml:space="preserve"> dimenzi</w:t>
      </w:r>
      <w:r w:rsidR="00CF12DB" w:rsidRPr="007161C3">
        <w:rPr>
          <w:rFonts w:cstheme="minorHAnsi"/>
          <w:color w:val="212529"/>
          <w:shd w:val="clear" w:color="auto" w:fill="FFFFFF"/>
        </w:rPr>
        <w:t xml:space="preserve">, </w:t>
      </w:r>
      <w:r w:rsidR="005507B5">
        <w:rPr>
          <w:rFonts w:cstheme="minorHAnsi"/>
          <w:color w:val="212529"/>
          <w:shd w:val="clear" w:color="auto" w:fill="FFFFFF"/>
        </w:rPr>
        <w:t>problémy se řeší samy nebo obec či</w:t>
      </w:r>
      <w:r w:rsidR="00CF12DB" w:rsidRPr="007161C3">
        <w:rPr>
          <w:rFonts w:cstheme="minorHAnsi"/>
          <w:color w:val="212529"/>
          <w:shd w:val="clear" w:color="auto" w:fill="FFFFFF"/>
        </w:rPr>
        <w:t xml:space="preserve"> region je schopen problémy vyřešit. </w:t>
      </w:r>
      <w:r w:rsidR="00E362EF" w:rsidRPr="007161C3">
        <w:rPr>
          <w:rFonts w:cstheme="minorHAnsi"/>
          <w:color w:val="212529"/>
          <w:shd w:val="clear" w:color="auto" w:fill="FFFFFF"/>
        </w:rPr>
        <w:t xml:space="preserve"> Průšvih nastane, když stát díky své nepochopitelné finanční politice po dobu čtvrt století začne společnost rozdělovat na chudou a bohatou část</w:t>
      </w:r>
      <w:r w:rsidR="00CF12DB" w:rsidRPr="007161C3">
        <w:rPr>
          <w:rFonts w:cstheme="minorHAnsi"/>
          <w:color w:val="212529"/>
          <w:shd w:val="clear" w:color="auto" w:fill="FFFFFF"/>
        </w:rPr>
        <w:t xml:space="preserve"> a zapříčiní </w:t>
      </w:r>
      <w:r w:rsidR="005507B5">
        <w:rPr>
          <w:rFonts w:cstheme="minorHAnsi"/>
          <w:color w:val="212529"/>
          <w:shd w:val="clear" w:color="auto" w:fill="FFFFFF"/>
        </w:rPr>
        <w:t xml:space="preserve">dlouhodobou </w:t>
      </w:r>
      <w:r w:rsidR="00CF12DB" w:rsidRPr="007161C3">
        <w:rPr>
          <w:rFonts w:cstheme="minorHAnsi"/>
          <w:color w:val="212529"/>
          <w:shd w:val="clear" w:color="auto" w:fill="FFFFFF"/>
        </w:rPr>
        <w:t>koncentraci chudoby</w:t>
      </w:r>
      <w:r w:rsidR="007161C3" w:rsidRPr="007161C3">
        <w:rPr>
          <w:rFonts w:cstheme="minorHAnsi"/>
          <w:color w:val="212529"/>
          <w:shd w:val="clear" w:color="auto" w:fill="FFFFFF"/>
        </w:rPr>
        <w:t xml:space="preserve"> do jistých lokalit, které se ocitly mimo výsluní vládní politiky a navíc si </w:t>
      </w:r>
      <w:r w:rsidR="009E2BCE">
        <w:rPr>
          <w:rFonts w:cstheme="minorHAnsi"/>
          <w:color w:val="212529"/>
          <w:shd w:val="clear" w:color="auto" w:fill="FFFFFF"/>
        </w:rPr>
        <w:t xml:space="preserve">ještě </w:t>
      </w:r>
      <w:r w:rsidR="007161C3" w:rsidRPr="007161C3">
        <w:rPr>
          <w:rFonts w:cstheme="minorHAnsi"/>
          <w:color w:val="212529"/>
          <w:shd w:val="clear" w:color="auto" w:fill="FFFFFF"/>
        </w:rPr>
        <w:t xml:space="preserve">nesou dědictví minulosti, kdy prošly </w:t>
      </w:r>
      <w:r w:rsidR="00F64540">
        <w:rPr>
          <w:rFonts w:cstheme="minorHAnsi"/>
          <w:color w:val="212529"/>
          <w:shd w:val="clear" w:color="auto" w:fill="FFFFFF"/>
        </w:rPr>
        <w:t xml:space="preserve">poválečnou </w:t>
      </w:r>
      <w:r w:rsidR="007161C3" w:rsidRPr="007161C3">
        <w:rPr>
          <w:rFonts w:cstheme="minorHAnsi"/>
          <w:color w:val="212529"/>
          <w:shd w:val="clear" w:color="auto" w:fill="FFFFFF"/>
        </w:rPr>
        <w:t xml:space="preserve">výměnou obyvatelstva, jejíž </w:t>
      </w:r>
      <w:r w:rsidR="007F00C2" w:rsidRPr="007161C3">
        <w:rPr>
          <w:rFonts w:cstheme="minorHAnsi"/>
          <w:color w:val="212529"/>
          <w:shd w:val="clear" w:color="auto" w:fill="FFFFFF"/>
        </w:rPr>
        <w:t>důsledky</w:t>
      </w:r>
      <w:r w:rsidR="007161C3" w:rsidRPr="007161C3">
        <w:rPr>
          <w:rFonts w:cstheme="minorHAnsi"/>
          <w:color w:val="212529"/>
          <w:shd w:val="clear" w:color="auto" w:fill="FFFFFF"/>
        </w:rPr>
        <w:t xml:space="preserve"> jsou dodnes patrné</w:t>
      </w:r>
      <w:r w:rsidR="005507B5">
        <w:rPr>
          <w:rFonts w:cstheme="minorHAnsi"/>
          <w:color w:val="212529"/>
          <w:shd w:val="clear" w:color="auto" w:fill="FFFFFF"/>
        </w:rPr>
        <w:t>, navíc se potýká s nutností restrukturalizace v důsledku celosvětové změny přístupu k využívání nerostných surovin</w:t>
      </w:r>
      <w:r w:rsidR="007161C3" w:rsidRPr="007161C3">
        <w:rPr>
          <w:rFonts w:cstheme="minorHAnsi"/>
          <w:color w:val="212529"/>
          <w:shd w:val="clear" w:color="auto" w:fill="FFFFFF"/>
        </w:rPr>
        <w:t xml:space="preserve">. </w:t>
      </w:r>
      <w:r w:rsidR="00B55CDF">
        <w:rPr>
          <w:rFonts w:cstheme="minorHAnsi"/>
          <w:color w:val="212529"/>
          <w:shd w:val="clear" w:color="auto" w:fill="FFFFFF"/>
        </w:rPr>
        <w:t xml:space="preserve">Chudá oblast se stává odkladištěm nepohodlných a nepřizpůsobivých obyvatel státu a právě jejich koncentrace je časovanou bombou budoucího rozvoje regionu. </w:t>
      </w:r>
    </w:p>
    <w:p w14:paraId="236ACC5E" w14:textId="77777777" w:rsidR="007161C3" w:rsidRDefault="007161C3" w:rsidP="007161C3">
      <w:pPr>
        <w:spacing w:after="0" w:line="240" w:lineRule="auto"/>
        <w:jc w:val="both"/>
        <w:rPr>
          <w:rFonts w:ascii="Segoe UI" w:hAnsi="Segoe UI" w:cs="Segoe UI"/>
          <w:color w:val="212529"/>
          <w:shd w:val="clear" w:color="auto" w:fill="FFFFFF"/>
        </w:rPr>
      </w:pPr>
    </w:p>
    <w:p w14:paraId="532F0671" w14:textId="77777777" w:rsidR="00B55CDF" w:rsidRPr="00B55CDF" w:rsidRDefault="00B55CDF" w:rsidP="007161C3">
      <w:pPr>
        <w:spacing w:after="0" w:line="240" w:lineRule="auto"/>
        <w:jc w:val="both"/>
        <w:rPr>
          <w:rFonts w:cstheme="minorHAnsi"/>
          <w:color w:val="212529"/>
          <w:sz w:val="32"/>
          <w:shd w:val="clear" w:color="auto" w:fill="FFFFFF"/>
        </w:rPr>
      </w:pPr>
      <w:r>
        <w:rPr>
          <w:rFonts w:cstheme="minorHAnsi"/>
          <w:color w:val="212529"/>
          <w:sz w:val="32"/>
          <w:shd w:val="clear" w:color="auto" w:fill="FFFFFF"/>
        </w:rPr>
        <w:t>Problematiku rozdělování daní řeší i v zahraničí</w:t>
      </w:r>
    </w:p>
    <w:p w14:paraId="4E170427" w14:textId="77777777" w:rsidR="007161C3" w:rsidRDefault="007161C3" w:rsidP="007161C3">
      <w:pPr>
        <w:spacing w:after="0" w:line="240" w:lineRule="auto"/>
        <w:jc w:val="both"/>
      </w:pPr>
      <w:r>
        <w:t xml:space="preserve">Na Západ od našich hranic řeší princip </w:t>
      </w:r>
      <w:r w:rsidR="007F00C2">
        <w:t xml:space="preserve">koheze </w:t>
      </w:r>
      <w:r>
        <w:t>solidarit</w:t>
      </w:r>
      <w:r w:rsidR="007F00C2">
        <w:t>ou</w:t>
      </w:r>
      <w:r>
        <w:t xml:space="preserve"> uvnitř státu, kdy odebírají finanční prostředky bohatším regionům a v rámci RUD je přidělují chudším na základě vnitrostátní koheze s cílem udržování stejné úrovně blahobytu na území celého státního celku.  Už starý baron von Bismarck si na rozdíl od českých politiků byl vědom, že regionální diference jsou zdrojem vnitřního pnutí ve státě a permanentním výrobcem těžko řešitelných problémů.</w:t>
      </w:r>
    </w:p>
    <w:p w14:paraId="6407239B" w14:textId="77777777" w:rsidR="007161C3" w:rsidRPr="00B0141E" w:rsidRDefault="007161C3" w:rsidP="007161C3">
      <w:pPr>
        <w:spacing w:after="0" w:line="240" w:lineRule="auto"/>
        <w:jc w:val="both"/>
        <w:rPr>
          <w:b/>
          <w:color w:val="FF0000"/>
        </w:rPr>
      </w:pPr>
      <w:r>
        <w:lastRenderedPageBreak/>
        <w:t xml:space="preserve">Tento princip samozřejmě naráží na odpor bohatých plátců </w:t>
      </w:r>
      <w:r w:rsidR="009E2BCE">
        <w:t xml:space="preserve">i v zahraničí </w:t>
      </w:r>
      <w:r>
        <w:t>a jako příklad uvedu žalobu bohatého Bavorska před lety u ústavního soudu v Karlsruhe, kde se Bavorsko bránilo odvodu části získaných daní ve prospěch chudších regionů, nakonec ale uznalo princip solidarity</w:t>
      </w:r>
      <w:r w:rsidR="007F00C2">
        <w:t xml:space="preserve"> a žalobu stáhlo</w:t>
      </w:r>
      <w:r>
        <w:t xml:space="preserve">. </w:t>
      </w:r>
      <w:r w:rsidRPr="00EE1319">
        <w:t xml:space="preserve">Toto finanční vyrovnání, kdy bohaté regiony </w:t>
      </w:r>
      <w:r w:rsidR="009E2BCE" w:rsidRPr="00EE1319">
        <w:t xml:space="preserve">v Německu </w:t>
      </w:r>
      <w:r w:rsidRPr="00EE1319">
        <w:t xml:space="preserve">odvádí část daní ve prospěch finančně slabších, </w:t>
      </w:r>
      <w:r w:rsidRPr="00EE1319">
        <w:rPr>
          <w:b/>
        </w:rPr>
        <w:t>nesrovnávat prosím s</w:t>
      </w:r>
      <w:r w:rsidRPr="00EE1319">
        <w:t>e </w:t>
      </w:r>
      <w:r w:rsidRPr="00EE1319">
        <w:rPr>
          <w:b/>
        </w:rPr>
        <w:t>solidárním příplatkem na řešení rozdílů po sjednocení Německa,</w:t>
      </w:r>
      <w:r w:rsidRPr="00EE1319">
        <w:t xml:space="preserve"> ten </w:t>
      </w:r>
      <w:r w:rsidR="007F00C2" w:rsidRPr="00EE1319">
        <w:t>je placen již jen 5 % nejbohatších plátců</w:t>
      </w:r>
      <w:r w:rsidRPr="00EE1319">
        <w:t xml:space="preserve"> a má být nyní zrušen, protože po třiceti letech </w:t>
      </w:r>
      <w:r w:rsidR="00F64540" w:rsidRPr="00EE1319">
        <w:t xml:space="preserve">od sjednocení </w:t>
      </w:r>
      <w:r w:rsidRPr="00EE1319">
        <w:t xml:space="preserve">ztratil původní smysl a je rovněž napaden u ústavního soudu.  </w:t>
      </w:r>
      <w:r w:rsidRPr="00EE1319">
        <w:rPr>
          <w:b/>
        </w:rPr>
        <w:t xml:space="preserve">Naopak vyrovnávání finanční síly regionů v SRN </w:t>
      </w:r>
      <w:r w:rsidR="00D40A78" w:rsidRPr="00EE1319">
        <w:rPr>
          <w:b/>
        </w:rPr>
        <w:t xml:space="preserve">je stálicí německé </w:t>
      </w:r>
      <w:r w:rsidR="009E2BCE" w:rsidRPr="00EE1319">
        <w:rPr>
          <w:b/>
        </w:rPr>
        <w:t xml:space="preserve">regionální </w:t>
      </w:r>
      <w:r w:rsidR="00D40A78" w:rsidRPr="00EE1319">
        <w:rPr>
          <w:b/>
        </w:rPr>
        <w:t xml:space="preserve">politiky a </w:t>
      </w:r>
      <w:r w:rsidRPr="00EE1319">
        <w:rPr>
          <w:b/>
        </w:rPr>
        <w:t xml:space="preserve"> bylo zakotveno </w:t>
      </w:r>
      <w:r w:rsidR="00D40A78" w:rsidRPr="00EE1319">
        <w:rPr>
          <w:b/>
        </w:rPr>
        <w:t xml:space="preserve">již v ústavě Výmarské republiky pře II. světovou válkou a </w:t>
      </w:r>
      <w:r w:rsidRPr="00EE1319">
        <w:rPr>
          <w:b/>
        </w:rPr>
        <w:t xml:space="preserve">jako závazek </w:t>
      </w:r>
      <w:r w:rsidR="00D40A78" w:rsidRPr="00EE1319">
        <w:rPr>
          <w:b/>
        </w:rPr>
        <w:t xml:space="preserve">bylo v </w:t>
      </w:r>
      <w:r w:rsidRPr="00EE1319">
        <w:rPr>
          <w:b/>
        </w:rPr>
        <w:t xml:space="preserve"> § 107 </w:t>
      </w:r>
      <w:r w:rsidR="00D40A78" w:rsidRPr="00EE1319">
        <w:rPr>
          <w:b/>
        </w:rPr>
        <w:t xml:space="preserve">vtěleno </w:t>
      </w:r>
      <w:r w:rsidRPr="00EE1319">
        <w:rPr>
          <w:b/>
        </w:rPr>
        <w:t>Spolkové ústavy v roce 1952.</w:t>
      </w:r>
    </w:p>
    <w:p w14:paraId="00EDF08A" w14:textId="77777777" w:rsidR="007161C3" w:rsidRPr="00EE1319" w:rsidRDefault="007161C3" w:rsidP="007161C3">
      <w:pPr>
        <w:spacing w:after="0" w:line="240" w:lineRule="auto"/>
        <w:jc w:val="both"/>
        <w:rPr>
          <w:b/>
        </w:rPr>
      </w:pPr>
      <w:r>
        <w:t xml:space="preserve">Tuto záležitost rozdílu </w:t>
      </w:r>
      <w:r w:rsidR="007F00C2">
        <w:t xml:space="preserve">tzv. </w:t>
      </w:r>
      <w:r>
        <w:t>solidárního příspěvku</w:t>
      </w:r>
      <w:r w:rsidR="007F00C2">
        <w:t xml:space="preserve"> na sjednocení Německa </w:t>
      </w:r>
      <w:r>
        <w:t xml:space="preserve"> jako dočasného řešení a trvalého principu vyrovnávání finanční síly regionů si </w:t>
      </w:r>
      <w:r w:rsidRPr="00EE1319">
        <w:rPr>
          <w:b/>
        </w:rPr>
        <w:t xml:space="preserve">bohužel pletou vysokoškolští profesoři slovutných pražských univerzit a někteří naši politici včetně hejtmanů. </w:t>
      </w:r>
    </w:p>
    <w:p w14:paraId="4331A1F1" w14:textId="77777777" w:rsidR="007161C3" w:rsidRDefault="007161C3" w:rsidP="007161C3">
      <w:pPr>
        <w:jc w:val="both"/>
      </w:pPr>
      <w:r>
        <w:t xml:space="preserve">Podobný příběh </w:t>
      </w:r>
      <w:r w:rsidR="009E2BCE">
        <w:t>odporu k  finančnímu vyrovnání</w:t>
      </w:r>
      <w:r>
        <w:t xml:space="preserve"> mezi regiony se odehrál i ve Švýcarsku, kde bohatý kanton Bern se bránil přispívat na chudší kantony a nakonec i ten uznal princip solidarity.  </w:t>
      </w:r>
    </w:p>
    <w:p w14:paraId="621E8326" w14:textId="77777777" w:rsidR="00F64540" w:rsidRPr="00F64540" w:rsidRDefault="00EE1319" w:rsidP="00F64540">
      <w:pPr>
        <w:spacing w:after="0" w:line="240" w:lineRule="auto"/>
        <w:jc w:val="both"/>
        <w:rPr>
          <w:sz w:val="28"/>
        </w:rPr>
      </w:pPr>
      <w:r>
        <w:rPr>
          <w:sz w:val="28"/>
        </w:rPr>
        <w:t xml:space="preserve">Bruselské hodnocení </w:t>
      </w:r>
      <w:r w:rsidR="001B6DD4">
        <w:rPr>
          <w:sz w:val="28"/>
        </w:rPr>
        <w:t>hovoří jasně</w:t>
      </w:r>
    </w:p>
    <w:p w14:paraId="479A43FD" w14:textId="77777777" w:rsidR="007161C3" w:rsidRDefault="007161C3" w:rsidP="00F64540">
      <w:pPr>
        <w:spacing w:after="0" w:line="240" w:lineRule="auto"/>
        <w:jc w:val="both"/>
      </w:pPr>
      <w:r>
        <w:t>V Čechách vznikl v rámci rozdělování daní opačný přístup a český daňový Jánošík srdnatě okrádá ty nejchudší ve prospěch těch nejbohatších. To je pak vidět na růstu ekonomiky měřené růstem HDP/obyvatele v období 2010 – 2020 v jednotlivých regionech ČR. (Pramen: Country report EU 2023)</w:t>
      </w:r>
    </w:p>
    <w:p w14:paraId="042F0C11" w14:textId="77777777" w:rsidR="007161C3" w:rsidRDefault="007161C3" w:rsidP="007161C3">
      <w:pPr>
        <w:jc w:val="both"/>
      </w:pPr>
      <w:r>
        <w:rPr>
          <w:noProof/>
          <w:lang w:eastAsia="cs-CZ"/>
        </w:rPr>
        <w:drawing>
          <wp:inline distT="0" distB="0" distL="0" distR="0" wp14:anchorId="1DB03796" wp14:editId="0C512D8B">
            <wp:extent cx="4442012" cy="314838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2747" cy="3148905"/>
                    </a:xfrm>
                    <a:prstGeom prst="rect">
                      <a:avLst/>
                    </a:prstGeom>
                    <a:noFill/>
                    <a:ln>
                      <a:noFill/>
                    </a:ln>
                  </pic:spPr>
                </pic:pic>
              </a:graphicData>
            </a:graphic>
          </wp:inline>
        </w:drawing>
      </w:r>
    </w:p>
    <w:p w14:paraId="1BEEA2C6" w14:textId="77777777" w:rsidR="00D40A78" w:rsidRPr="000C2360" w:rsidRDefault="007161C3" w:rsidP="007161C3">
      <w:pPr>
        <w:pStyle w:val="Normlnweb"/>
        <w:jc w:val="both"/>
        <w:rPr>
          <w:rFonts w:asciiTheme="minorHAnsi" w:hAnsiTheme="minorHAnsi" w:cstheme="minorHAnsi"/>
          <w:sz w:val="22"/>
        </w:rPr>
      </w:pPr>
      <w:r w:rsidRPr="000C2360">
        <w:rPr>
          <w:rFonts w:asciiTheme="minorHAnsi" w:hAnsiTheme="minorHAnsi" w:cstheme="minorHAnsi"/>
          <w:sz w:val="22"/>
        </w:rPr>
        <w:t xml:space="preserve">Výsledkem tohoto dlouholetého vykořisťování nesmyslnými a neospraveditelnými rošádami při rozdělování finančních prostředků v rámci </w:t>
      </w:r>
      <w:r w:rsidR="00E8393C" w:rsidRPr="000C2360">
        <w:rPr>
          <w:rFonts w:asciiTheme="minorHAnsi" w:hAnsiTheme="minorHAnsi" w:cstheme="minorHAnsi"/>
          <w:sz w:val="22"/>
        </w:rPr>
        <w:t xml:space="preserve">RUD </w:t>
      </w:r>
      <w:r w:rsidRPr="000C2360">
        <w:rPr>
          <w:rFonts w:asciiTheme="minorHAnsi" w:hAnsiTheme="minorHAnsi" w:cstheme="minorHAnsi"/>
          <w:sz w:val="22"/>
        </w:rPr>
        <w:t xml:space="preserve"> jsou nebetyčné rozdíly v úrovni regionů, kdy Ústecký kraj je hodnocen jako nejchudší v oblasti  střední Evropy s úrovní 61% průměru agregátního ukazatele HDP na obyvatele  EU/27 (úroveň horší Bulharska) ve srovnání s 202%  preferovaného regionu Prahy, který touto úrovní již předstihl Švýcarsko. </w:t>
      </w:r>
      <w:r w:rsidR="00E8393C" w:rsidRPr="000C2360">
        <w:rPr>
          <w:rFonts w:asciiTheme="minorHAnsi" w:hAnsiTheme="minorHAnsi" w:cstheme="minorHAnsi"/>
          <w:sz w:val="22"/>
        </w:rPr>
        <w:t>Problémem regionu je kromě úrovně ekonomiky také její stagnace, kde probíhající restrukturalizace uhelného regionu za minimální podpory vlády ve srovnání s podobnými regiony v sousedních zemích nevěstí nic dobrého</w:t>
      </w:r>
      <w:r w:rsidR="00D40A78" w:rsidRPr="000C2360">
        <w:rPr>
          <w:rFonts w:asciiTheme="minorHAnsi" w:hAnsiTheme="minorHAnsi" w:cstheme="minorHAnsi"/>
          <w:sz w:val="22"/>
        </w:rPr>
        <w:t xml:space="preserve"> pro budoucnost kraje. </w:t>
      </w:r>
    </w:p>
    <w:p w14:paraId="2CE73B0E" w14:textId="77777777" w:rsidR="00975557" w:rsidRPr="000C2360" w:rsidRDefault="00BB772C" w:rsidP="000C2360">
      <w:pPr>
        <w:pStyle w:val="Normlnweb"/>
        <w:jc w:val="both"/>
        <w:rPr>
          <w:rFonts w:asciiTheme="minorHAnsi" w:hAnsiTheme="minorHAnsi" w:cstheme="minorHAnsi"/>
          <w:color w:val="212529"/>
          <w:sz w:val="20"/>
          <w:shd w:val="clear" w:color="auto" w:fill="FFFFFF"/>
        </w:rPr>
      </w:pPr>
      <w:r>
        <w:rPr>
          <w:rFonts w:asciiTheme="minorHAnsi" w:hAnsiTheme="minorHAnsi" w:cstheme="minorHAnsi"/>
          <w:sz w:val="22"/>
        </w:rPr>
        <w:t>V absolutních číslech d</w:t>
      </w:r>
      <w:r w:rsidR="00BF5491" w:rsidRPr="000C2360">
        <w:rPr>
          <w:rFonts w:asciiTheme="minorHAnsi" w:hAnsiTheme="minorHAnsi" w:cstheme="minorHAnsi"/>
          <w:sz w:val="22"/>
        </w:rPr>
        <w:t>le Svazu měst a obcí (SMO) je za rok 2023 průměr přídělu z RUD do rozpočtu obcí v ČR 18.079 Kč na obyvatele, v</w:t>
      </w:r>
      <w:r w:rsidR="00EE3076" w:rsidRPr="000C2360">
        <w:rPr>
          <w:rFonts w:asciiTheme="minorHAnsi" w:hAnsiTheme="minorHAnsi" w:cstheme="minorHAnsi"/>
          <w:sz w:val="22"/>
        </w:rPr>
        <w:t xml:space="preserve"> Ústeckém kraji </w:t>
      </w:r>
      <w:r w:rsidR="00BF5491" w:rsidRPr="000C2360">
        <w:rPr>
          <w:rFonts w:asciiTheme="minorHAnsi" w:hAnsiTheme="minorHAnsi" w:cstheme="minorHAnsi"/>
          <w:sz w:val="22"/>
        </w:rPr>
        <w:t xml:space="preserve">to </w:t>
      </w:r>
      <w:r>
        <w:rPr>
          <w:rFonts w:asciiTheme="minorHAnsi" w:hAnsiTheme="minorHAnsi" w:cstheme="minorHAnsi"/>
          <w:sz w:val="22"/>
        </w:rPr>
        <w:t xml:space="preserve">však </w:t>
      </w:r>
      <w:r w:rsidR="00975557" w:rsidRPr="000C2360">
        <w:rPr>
          <w:rFonts w:asciiTheme="minorHAnsi" w:hAnsiTheme="minorHAnsi" w:cstheme="minorHAnsi"/>
          <w:sz w:val="22"/>
        </w:rPr>
        <w:t xml:space="preserve">činí </w:t>
      </w:r>
      <w:r>
        <w:rPr>
          <w:rFonts w:asciiTheme="minorHAnsi" w:hAnsiTheme="minorHAnsi" w:cstheme="minorHAnsi"/>
          <w:sz w:val="22"/>
        </w:rPr>
        <w:t xml:space="preserve">jen  </w:t>
      </w:r>
      <w:r w:rsidR="00975557" w:rsidRPr="000C2360">
        <w:rPr>
          <w:rFonts w:asciiTheme="minorHAnsi" w:hAnsiTheme="minorHAnsi" w:cstheme="minorHAnsi"/>
          <w:sz w:val="22"/>
        </w:rPr>
        <w:t xml:space="preserve">13.860 Kč na obyvatele. Z toho plynoucí </w:t>
      </w:r>
      <w:r w:rsidR="00BF5491" w:rsidRPr="000C2360">
        <w:rPr>
          <w:rFonts w:asciiTheme="minorHAnsi" w:hAnsiTheme="minorHAnsi" w:cstheme="minorHAnsi"/>
          <w:sz w:val="22"/>
        </w:rPr>
        <w:t xml:space="preserve">deficit </w:t>
      </w:r>
      <w:r w:rsidR="00B756F8" w:rsidRPr="000C2360">
        <w:rPr>
          <w:rFonts w:asciiTheme="minorHAnsi" w:hAnsiTheme="minorHAnsi" w:cstheme="minorHAnsi"/>
          <w:sz w:val="22"/>
        </w:rPr>
        <w:t xml:space="preserve"> ÚK </w:t>
      </w:r>
      <w:r w:rsidR="00975557" w:rsidRPr="000C2360">
        <w:rPr>
          <w:rFonts w:asciiTheme="minorHAnsi" w:hAnsiTheme="minorHAnsi" w:cstheme="minorHAnsi"/>
          <w:sz w:val="22"/>
        </w:rPr>
        <w:t xml:space="preserve">oproti ostatním částem republiky </w:t>
      </w:r>
      <w:r w:rsidR="00424834" w:rsidRPr="000C2360">
        <w:rPr>
          <w:rFonts w:asciiTheme="minorHAnsi" w:hAnsiTheme="minorHAnsi" w:cstheme="minorHAnsi"/>
          <w:sz w:val="22"/>
        </w:rPr>
        <w:t xml:space="preserve">obnáší </w:t>
      </w:r>
      <w:r w:rsidR="00BF5491" w:rsidRPr="000C2360">
        <w:rPr>
          <w:rFonts w:asciiTheme="minorHAnsi" w:hAnsiTheme="minorHAnsi" w:cstheme="minorHAnsi"/>
          <w:b/>
          <w:sz w:val="22"/>
        </w:rPr>
        <w:t>3,42 mld Kč</w:t>
      </w:r>
      <w:r w:rsidR="00EE3076" w:rsidRPr="000C2360">
        <w:rPr>
          <w:rFonts w:asciiTheme="minorHAnsi" w:hAnsiTheme="minorHAnsi" w:cstheme="minorHAnsi"/>
          <w:b/>
          <w:sz w:val="22"/>
        </w:rPr>
        <w:t xml:space="preserve"> ročně</w:t>
      </w:r>
      <w:r w:rsidR="00BF5491" w:rsidRPr="000C2360">
        <w:rPr>
          <w:rFonts w:asciiTheme="minorHAnsi" w:hAnsiTheme="minorHAnsi" w:cstheme="minorHAnsi"/>
          <w:sz w:val="22"/>
        </w:rPr>
        <w:t xml:space="preserve">, </w:t>
      </w:r>
      <w:r w:rsidR="00975557" w:rsidRPr="000C2360">
        <w:rPr>
          <w:rFonts w:asciiTheme="minorHAnsi" w:hAnsiTheme="minorHAnsi" w:cstheme="minorHAnsi"/>
          <w:sz w:val="22"/>
        </w:rPr>
        <w:t xml:space="preserve">takže je zřejmé, že pomoc poskytovaná </w:t>
      </w:r>
      <w:r w:rsidR="009E2BCE">
        <w:rPr>
          <w:rFonts w:asciiTheme="minorHAnsi" w:hAnsiTheme="minorHAnsi" w:cstheme="minorHAnsi"/>
          <w:sz w:val="22"/>
        </w:rPr>
        <w:t xml:space="preserve">např. </w:t>
      </w:r>
      <w:r w:rsidR="00975557" w:rsidRPr="000C2360">
        <w:rPr>
          <w:rFonts w:asciiTheme="minorHAnsi" w:hAnsiTheme="minorHAnsi" w:cstheme="minorHAnsi"/>
          <w:sz w:val="22"/>
        </w:rPr>
        <w:t>v rámci programu RESTART a ostatní</w:t>
      </w:r>
      <w:r w:rsidR="009E2BCE">
        <w:rPr>
          <w:rFonts w:asciiTheme="minorHAnsi" w:hAnsiTheme="minorHAnsi" w:cstheme="minorHAnsi"/>
          <w:sz w:val="22"/>
        </w:rPr>
        <w:t xml:space="preserve">ch </w:t>
      </w:r>
      <w:r w:rsidR="00975557" w:rsidRPr="000C2360">
        <w:rPr>
          <w:rFonts w:asciiTheme="minorHAnsi" w:hAnsiTheme="minorHAnsi" w:cstheme="minorHAnsi"/>
          <w:sz w:val="22"/>
        </w:rPr>
        <w:t>podpůrn</w:t>
      </w:r>
      <w:r w:rsidR="009E2BCE">
        <w:rPr>
          <w:rFonts w:asciiTheme="minorHAnsi" w:hAnsiTheme="minorHAnsi" w:cstheme="minorHAnsi"/>
          <w:sz w:val="22"/>
        </w:rPr>
        <w:t>ých</w:t>
      </w:r>
      <w:r w:rsidR="00975557" w:rsidRPr="000C2360">
        <w:rPr>
          <w:rFonts w:asciiTheme="minorHAnsi" w:hAnsiTheme="minorHAnsi" w:cstheme="minorHAnsi"/>
          <w:sz w:val="22"/>
        </w:rPr>
        <w:t xml:space="preserve"> iniciativ</w:t>
      </w:r>
      <w:r w:rsidR="009E2BCE">
        <w:rPr>
          <w:rFonts w:asciiTheme="minorHAnsi" w:hAnsiTheme="minorHAnsi" w:cstheme="minorHAnsi"/>
          <w:sz w:val="22"/>
        </w:rPr>
        <w:t xml:space="preserve"> zdaleka </w:t>
      </w:r>
      <w:r w:rsidR="009E2BCE">
        <w:rPr>
          <w:rFonts w:asciiTheme="minorHAnsi" w:hAnsiTheme="minorHAnsi" w:cstheme="minorHAnsi"/>
          <w:sz w:val="22"/>
        </w:rPr>
        <w:lastRenderedPageBreak/>
        <w:t>nemohla</w:t>
      </w:r>
      <w:r w:rsidR="00975557" w:rsidRPr="000C2360">
        <w:rPr>
          <w:rFonts w:asciiTheme="minorHAnsi" w:hAnsiTheme="minorHAnsi" w:cstheme="minorHAnsi"/>
          <w:sz w:val="22"/>
        </w:rPr>
        <w:t xml:space="preserve"> vyvážit tuto ztrátu a místo toho </w:t>
      </w:r>
      <w:r w:rsidR="00EE3076" w:rsidRPr="000C2360">
        <w:rPr>
          <w:rFonts w:asciiTheme="minorHAnsi" w:hAnsiTheme="minorHAnsi" w:cstheme="minorHAnsi"/>
          <w:sz w:val="22"/>
        </w:rPr>
        <w:t xml:space="preserve">občané </w:t>
      </w:r>
      <w:r w:rsidR="00975557" w:rsidRPr="000C2360">
        <w:rPr>
          <w:rFonts w:asciiTheme="minorHAnsi" w:hAnsiTheme="minorHAnsi" w:cstheme="minorHAnsi"/>
          <w:sz w:val="22"/>
        </w:rPr>
        <w:t xml:space="preserve">a firmy </w:t>
      </w:r>
      <w:r w:rsidR="00EE3076" w:rsidRPr="000C2360">
        <w:rPr>
          <w:rFonts w:asciiTheme="minorHAnsi" w:hAnsiTheme="minorHAnsi" w:cstheme="minorHAnsi"/>
          <w:sz w:val="22"/>
        </w:rPr>
        <w:t>tohoto bohem a lidmi zapomenutého regionu ze svých daní</w:t>
      </w:r>
      <w:r w:rsidR="00BF5491" w:rsidRPr="000C2360">
        <w:rPr>
          <w:rFonts w:asciiTheme="minorHAnsi" w:hAnsiTheme="minorHAnsi" w:cstheme="minorHAnsi"/>
          <w:sz w:val="22"/>
        </w:rPr>
        <w:t xml:space="preserve"> </w:t>
      </w:r>
      <w:r w:rsidR="009E2BCE">
        <w:rPr>
          <w:rFonts w:asciiTheme="minorHAnsi" w:hAnsiTheme="minorHAnsi" w:cstheme="minorHAnsi"/>
          <w:sz w:val="22"/>
        </w:rPr>
        <w:t xml:space="preserve">spíše </w:t>
      </w:r>
      <w:r w:rsidR="00EE3076" w:rsidRPr="000C2360">
        <w:rPr>
          <w:rFonts w:asciiTheme="minorHAnsi" w:hAnsiTheme="minorHAnsi" w:cstheme="minorHAnsi"/>
          <w:sz w:val="22"/>
        </w:rPr>
        <w:t>přispíva</w:t>
      </w:r>
      <w:r w:rsidR="00975557" w:rsidRPr="000C2360">
        <w:rPr>
          <w:rFonts w:asciiTheme="minorHAnsi" w:hAnsiTheme="minorHAnsi" w:cstheme="minorHAnsi"/>
          <w:sz w:val="22"/>
        </w:rPr>
        <w:t>li</w:t>
      </w:r>
      <w:r w:rsidR="00EE3076" w:rsidRPr="000C2360">
        <w:rPr>
          <w:rFonts w:asciiTheme="minorHAnsi" w:hAnsiTheme="minorHAnsi" w:cstheme="minorHAnsi"/>
          <w:sz w:val="22"/>
        </w:rPr>
        <w:t xml:space="preserve"> na blahobyt bohatých částí</w:t>
      </w:r>
      <w:r w:rsidR="00975557" w:rsidRPr="000C2360">
        <w:rPr>
          <w:rFonts w:asciiTheme="minorHAnsi" w:hAnsiTheme="minorHAnsi" w:cstheme="minorHAnsi"/>
          <w:sz w:val="22"/>
        </w:rPr>
        <w:t xml:space="preserve"> republiky. </w:t>
      </w:r>
    </w:p>
    <w:p w14:paraId="3DD1599C" w14:textId="77777777" w:rsidR="001B6DD4" w:rsidRDefault="00975557" w:rsidP="001B6DD4">
      <w:pPr>
        <w:spacing w:after="0" w:line="240" w:lineRule="auto"/>
        <w:jc w:val="both"/>
        <w:rPr>
          <w:i/>
        </w:rPr>
      </w:pPr>
      <w:r>
        <w:t xml:space="preserve">A mohlo by být ještě hůře. V tomto směru jde ještě dále </w:t>
      </w:r>
      <w:r w:rsidR="00E14937">
        <w:t xml:space="preserve">nebezpečný návrh </w:t>
      </w:r>
      <w:r w:rsidR="003E4C1F">
        <w:t xml:space="preserve">diskuzního fóra </w:t>
      </w:r>
      <w:r w:rsidR="00E14937">
        <w:t>Visegrád ins</w:t>
      </w:r>
      <w:r w:rsidR="003E4C1F">
        <w:t>ight</w:t>
      </w:r>
      <w:r w:rsidR="00E14937">
        <w:t>, aby se přidělování dotací EU regionům, které nevykazují hospodářský růst</w:t>
      </w:r>
      <w:r w:rsidR="009D582C">
        <w:t>,</w:t>
      </w:r>
      <w:r w:rsidR="00E14937">
        <w:t xml:space="preserve"> zastavilo, což by platilo právě pro ÚK. </w:t>
      </w:r>
      <w:r w:rsidR="001B6DD4">
        <w:t xml:space="preserve">Hlasy na zastavení financování problematických regionů a především Severozápadu se ozývají i na akademické půdě vůdčích institucí v ČR, jako je Karlova univerzita nebo ČVUT, kde jsme na vlastní uši slyšeli:“ </w:t>
      </w:r>
      <w:r w:rsidR="001B6DD4" w:rsidRPr="009D582C">
        <w:rPr>
          <w:i/>
        </w:rPr>
        <w:t xml:space="preserve">Jen </w:t>
      </w:r>
      <w:r w:rsidR="001B6DD4">
        <w:rPr>
          <w:i/>
        </w:rPr>
        <w:t>Vám</w:t>
      </w:r>
      <w:r w:rsidR="001B6DD4" w:rsidRPr="009D582C">
        <w:rPr>
          <w:i/>
        </w:rPr>
        <w:t xml:space="preserve"> nedat peníze, </w:t>
      </w:r>
      <w:r w:rsidR="001B6DD4">
        <w:rPr>
          <w:i/>
        </w:rPr>
        <w:t xml:space="preserve">vy byste </w:t>
      </w:r>
      <w:r w:rsidR="001B6DD4" w:rsidRPr="009D582C">
        <w:rPr>
          <w:i/>
        </w:rPr>
        <w:t xml:space="preserve"> je stejně rozkrad</w:t>
      </w:r>
      <w:r w:rsidR="001B6DD4">
        <w:rPr>
          <w:i/>
        </w:rPr>
        <w:t>li</w:t>
      </w:r>
      <w:r w:rsidR="001B6DD4" w:rsidRPr="009D582C">
        <w:rPr>
          <w:i/>
        </w:rPr>
        <w:t>“, „Severozápad je černá díra</w:t>
      </w:r>
      <w:r w:rsidR="001B6DD4">
        <w:rPr>
          <w:i/>
        </w:rPr>
        <w:t xml:space="preserve"> na peníze</w:t>
      </w:r>
      <w:r w:rsidR="001B6DD4" w:rsidRPr="009D582C">
        <w:rPr>
          <w:i/>
        </w:rPr>
        <w:t xml:space="preserve">“. </w:t>
      </w:r>
    </w:p>
    <w:p w14:paraId="23678120" w14:textId="77777777" w:rsidR="00424834" w:rsidRDefault="00EE1319" w:rsidP="00975557">
      <w:pPr>
        <w:jc w:val="both"/>
      </w:pPr>
      <w:r>
        <w:t xml:space="preserve">Neschopnost centrálních orgánů problémy Severozápadu řešit vede stále více </w:t>
      </w:r>
      <w:r w:rsidR="006C5B09">
        <w:t xml:space="preserve">k obviňování vedení a politiků na Severu, že si vlastně za problémy mohou sami svojí neschopností. Pravdou je, že angažmá  některých vedoucích politiků Severozápadu v kriminálních kauzách pomáhá toto povědomí živit. </w:t>
      </w:r>
    </w:p>
    <w:p w14:paraId="54D17F17" w14:textId="77777777" w:rsidR="00424834" w:rsidRDefault="00BB772C" w:rsidP="00424834">
      <w:pPr>
        <w:spacing w:after="0" w:line="240" w:lineRule="auto"/>
        <w:jc w:val="both"/>
      </w:pPr>
      <w:r>
        <w:t>V souvislosti s dotacemi j</w:t>
      </w:r>
      <w:r w:rsidR="00424834">
        <w:t xml:space="preserve">e nutné si uvědomit, že dostatek financí v obecních kasách umožňuje obcím využívat případné dotace, protože mají </w:t>
      </w:r>
      <w:r w:rsidR="00975557">
        <w:t xml:space="preserve">k dispozici </w:t>
      </w:r>
      <w:r w:rsidR="00424834">
        <w:t xml:space="preserve">dostatek prostředků na kofinancování, takže dotační politika ještě multiplikuje rozdíly mezi chudými a bohatými oblastmi. </w:t>
      </w:r>
      <w:r w:rsidR="00975557">
        <w:t>Ti bohatí další peníze z dotací snáze získají, než ten, kdo musí obrátit každou korunu</w:t>
      </w:r>
      <w:r>
        <w:t xml:space="preserve"> na zabezpečení chodu obce</w:t>
      </w:r>
      <w:r w:rsidR="00975557">
        <w:t xml:space="preserve">. </w:t>
      </w:r>
    </w:p>
    <w:p w14:paraId="040586BA" w14:textId="77777777" w:rsidR="00E14937" w:rsidRDefault="00E14937" w:rsidP="00E14937">
      <w:pPr>
        <w:spacing w:after="0" w:line="240" w:lineRule="auto"/>
        <w:jc w:val="both"/>
      </w:pPr>
    </w:p>
    <w:p w14:paraId="630E3A3A" w14:textId="77777777" w:rsidR="009576DB" w:rsidRPr="009576DB" w:rsidRDefault="009576DB" w:rsidP="00E14937">
      <w:pPr>
        <w:spacing w:after="0" w:line="240" w:lineRule="auto"/>
        <w:jc w:val="both"/>
        <w:rPr>
          <w:sz w:val="32"/>
        </w:rPr>
      </w:pPr>
      <w:r w:rsidRPr="009576DB">
        <w:rPr>
          <w:sz w:val="32"/>
        </w:rPr>
        <w:t>Iniciativa Ministerstva financí</w:t>
      </w:r>
    </w:p>
    <w:p w14:paraId="33DCA6CD" w14:textId="77777777" w:rsidR="00853C2B" w:rsidRDefault="00B0141E" w:rsidP="00231845">
      <w:pPr>
        <w:jc w:val="both"/>
      </w:pPr>
      <w:r>
        <w:t xml:space="preserve">Naštěstí se ozývají i rozumnější hlasy, kde bych chtěl uvést především ministerstvo financí, jehož </w:t>
      </w:r>
      <w:r w:rsidR="006032EC">
        <w:t>přístup k problematice je formulován</w:t>
      </w:r>
      <w:r>
        <w:t xml:space="preserve">: </w:t>
      </w:r>
    </w:p>
    <w:p w14:paraId="32F7D73F" w14:textId="77777777" w:rsidR="00B0141E" w:rsidRPr="00482763" w:rsidRDefault="00B0141E" w:rsidP="0048276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„Cílem vlády je dlouhodobá stabilní dohoda, která formou zákona stanoví příjmy obcí tak,</w:t>
      </w:r>
      <w:r w:rsidR="00482763">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t xml:space="preserve">aby se snížil současný </w:t>
      </w:r>
      <w:r w:rsidRPr="006032EC">
        <w:rPr>
          <w:rFonts w:ascii="TimesNewRomanPS-ItalicMT" w:hAnsi="TimesNewRomanPS-ItalicMT" w:cs="TimesNewRomanPS-ItalicMT"/>
          <w:b/>
          <w:i/>
          <w:iCs/>
          <w:sz w:val="24"/>
          <w:szCs w:val="24"/>
        </w:rPr>
        <w:t>diskriminační rozdíl příjmů na obyvatele mezi „nejchudšími“ a</w:t>
      </w:r>
    </w:p>
    <w:p w14:paraId="69095E61" w14:textId="77777777" w:rsidR="00B0141E" w:rsidRDefault="00B0141E" w:rsidP="00482763">
      <w:pPr>
        <w:autoSpaceDE w:val="0"/>
        <w:autoSpaceDN w:val="0"/>
        <w:adjustRightInd w:val="0"/>
        <w:spacing w:after="0" w:line="240" w:lineRule="auto"/>
        <w:rPr>
          <w:rFonts w:ascii="TimesNewRomanPS-ItalicMT" w:hAnsi="TimesNewRomanPS-ItalicMT" w:cs="TimesNewRomanPS-ItalicMT"/>
          <w:i/>
          <w:iCs/>
          <w:sz w:val="24"/>
          <w:szCs w:val="24"/>
        </w:rPr>
      </w:pPr>
      <w:r w:rsidRPr="006032EC">
        <w:rPr>
          <w:rFonts w:ascii="TimesNewRomanPS-ItalicMT" w:hAnsi="TimesNewRomanPS-ItalicMT" w:cs="TimesNewRomanPS-ItalicMT"/>
          <w:b/>
          <w:i/>
          <w:iCs/>
          <w:sz w:val="24"/>
          <w:szCs w:val="24"/>
        </w:rPr>
        <w:t>„nejbohatšími“ obcemi</w:t>
      </w:r>
      <w:r>
        <w:rPr>
          <w:rFonts w:ascii="TimesNewRomanPS-ItalicMT" w:hAnsi="TimesNewRomanPS-ItalicMT" w:cs="TimesNewRomanPS-ItalicMT"/>
          <w:i/>
          <w:iCs/>
          <w:sz w:val="24"/>
          <w:szCs w:val="24"/>
        </w:rPr>
        <w:t xml:space="preserve"> a  aby to odpovídalo situaci ve vyspělých zemích Evropské unie.</w:t>
      </w:r>
    </w:p>
    <w:p w14:paraId="2776AEEB" w14:textId="77777777" w:rsidR="00B0141E" w:rsidRDefault="00B0141E" w:rsidP="0048276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Příjmová základna obcí bude posílena zejména na úkor celostátních dotačních programů,</w:t>
      </w:r>
    </w:p>
    <w:p w14:paraId="0F2134A2" w14:textId="77777777" w:rsidR="00B0141E" w:rsidRDefault="00B0141E" w:rsidP="00482763">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ze kterých jsou doposud centrálně, a tudíž málo efektivně financovány rozvojové projekty</w:t>
      </w:r>
    </w:p>
    <w:p w14:paraId="07ECD45E" w14:textId="77777777" w:rsidR="00853C2B" w:rsidRDefault="00B0141E" w:rsidP="00482763">
      <w:pPr>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v obcích.“</w:t>
      </w:r>
    </w:p>
    <w:p w14:paraId="239BBF64" w14:textId="77777777" w:rsidR="00CF12DB" w:rsidRPr="000C2360" w:rsidRDefault="006032EC" w:rsidP="00CF12DB">
      <w:pPr>
        <w:autoSpaceDE w:val="0"/>
        <w:autoSpaceDN w:val="0"/>
        <w:adjustRightInd w:val="0"/>
        <w:spacing w:after="0" w:line="240" w:lineRule="auto"/>
        <w:jc w:val="both"/>
        <w:rPr>
          <w:rFonts w:cstheme="minorHAnsi"/>
          <w:sz w:val="24"/>
          <w:szCs w:val="24"/>
        </w:rPr>
      </w:pPr>
      <w:r w:rsidRPr="000C2360">
        <w:rPr>
          <w:rFonts w:cstheme="minorHAnsi"/>
          <w:sz w:val="24"/>
          <w:szCs w:val="24"/>
        </w:rPr>
        <w:t xml:space="preserve">Velice moudrá slova, která snad najdou </w:t>
      </w:r>
      <w:r w:rsidR="00D40A78" w:rsidRPr="000C2360">
        <w:rPr>
          <w:rFonts w:cstheme="minorHAnsi"/>
          <w:sz w:val="24"/>
          <w:szCs w:val="24"/>
        </w:rPr>
        <w:t xml:space="preserve">někdy </w:t>
      </w:r>
      <w:r w:rsidRPr="000C2360">
        <w:rPr>
          <w:rFonts w:cstheme="minorHAnsi"/>
          <w:sz w:val="24"/>
          <w:szCs w:val="24"/>
        </w:rPr>
        <w:t xml:space="preserve">i naplnění. </w:t>
      </w:r>
      <w:r w:rsidR="00CF12DB" w:rsidRPr="000C2360">
        <w:rPr>
          <w:rFonts w:cstheme="minorHAnsi"/>
          <w:sz w:val="24"/>
          <w:szCs w:val="24"/>
        </w:rPr>
        <w:t xml:space="preserve">K dosažení definovaných cílů navrhuje </w:t>
      </w:r>
      <w:r w:rsidRPr="000C2360">
        <w:rPr>
          <w:rFonts w:cstheme="minorHAnsi"/>
          <w:sz w:val="24"/>
          <w:szCs w:val="24"/>
        </w:rPr>
        <w:t xml:space="preserve">ministerstvo financí </w:t>
      </w:r>
      <w:r w:rsidR="00CF12DB" w:rsidRPr="000C2360">
        <w:rPr>
          <w:rFonts w:cstheme="minorHAnsi"/>
          <w:sz w:val="24"/>
          <w:szCs w:val="24"/>
        </w:rPr>
        <w:t>navýšení sd</w:t>
      </w:r>
      <w:r w:rsidRPr="000C2360">
        <w:rPr>
          <w:rFonts w:cstheme="minorHAnsi"/>
          <w:sz w:val="24"/>
          <w:szCs w:val="24"/>
        </w:rPr>
        <w:t xml:space="preserve">ílených daní na úkor prostředků </w:t>
      </w:r>
      <w:r w:rsidR="00CF12DB" w:rsidRPr="000C2360">
        <w:rPr>
          <w:rFonts w:cstheme="minorHAnsi"/>
          <w:sz w:val="24"/>
          <w:szCs w:val="24"/>
        </w:rPr>
        <w:t xml:space="preserve">státního rozpočtu o 7,0 mld. Kč. Dále se navrhuje zapojení </w:t>
      </w:r>
      <w:r w:rsidRPr="000C2360">
        <w:rPr>
          <w:rFonts w:cstheme="minorHAnsi"/>
          <w:sz w:val="24"/>
          <w:szCs w:val="24"/>
        </w:rPr>
        <w:t xml:space="preserve">daňových příjmů zvýhodněných měst </w:t>
      </w:r>
      <w:r w:rsidRPr="00C21B8A">
        <w:rPr>
          <w:rFonts w:cstheme="minorHAnsi"/>
          <w:b/>
          <w:sz w:val="24"/>
          <w:szCs w:val="24"/>
        </w:rPr>
        <w:t>Plzně, Ostravy a Brna</w:t>
      </w:r>
      <w:r w:rsidRPr="000C2360">
        <w:rPr>
          <w:rFonts w:cstheme="minorHAnsi"/>
          <w:sz w:val="24"/>
          <w:szCs w:val="24"/>
        </w:rPr>
        <w:t xml:space="preserve"> do režimu ostatních měst ČR s tím, že jim bude poskytnuto čtyřleté přechodné období na adaptaci na režim shodný s ostatními obcemi v ČR. </w:t>
      </w:r>
      <w:r w:rsidR="00CF12DB" w:rsidRPr="000C2360">
        <w:rPr>
          <w:rFonts w:cstheme="minorHAnsi"/>
          <w:sz w:val="24"/>
          <w:szCs w:val="24"/>
        </w:rPr>
        <w:t xml:space="preserve">U Prahy se </w:t>
      </w:r>
      <w:r w:rsidR="00C21B8A">
        <w:rPr>
          <w:rFonts w:cstheme="minorHAnsi"/>
          <w:sz w:val="24"/>
          <w:szCs w:val="24"/>
        </w:rPr>
        <w:t xml:space="preserve">v tomto návrhu </w:t>
      </w:r>
      <w:r w:rsidR="00CF12DB" w:rsidRPr="000C2360">
        <w:rPr>
          <w:rFonts w:cstheme="minorHAnsi"/>
          <w:sz w:val="24"/>
          <w:szCs w:val="24"/>
        </w:rPr>
        <w:t>nadále zachovává oddělený propočet, č</w:t>
      </w:r>
      <w:r w:rsidRPr="000C2360">
        <w:rPr>
          <w:rFonts w:cstheme="minorHAnsi"/>
          <w:sz w:val="24"/>
          <w:szCs w:val="24"/>
        </w:rPr>
        <w:t xml:space="preserve">ástečné snížení daňových příjmů </w:t>
      </w:r>
      <w:r w:rsidR="00CF12DB" w:rsidRPr="000C2360">
        <w:rPr>
          <w:rFonts w:cstheme="minorHAnsi"/>
          <w:sz w:val="24"/>
          <w:szCs w:val="24"/>
        </w:rPr>
        <w:t>hlavního města je navrženo prostřednictvím úpravy jejího přepočítacího koeficientu.</w:t>
      </w:r>
    </w:p>
    <w:p w14:paraId="290A1D5F" w14:textId="77777777" w:rsidR="00CF12DB" w:rsidRPr="000C2360" w:rsidRDefault="00CF12DB" w:rsidP="00CF12DB">
      <w:pPr>
        <w:autoSpaceDE w:val="0"/>
        <w:autoSpaceDN w:val="0"/>
        <w:adjustRightInd w:val="0"/>
        <w:spacing w:after="0" w:line="240" w:lineRule="auto"/>
        <w:jc w:val="both"/>
        <w:rPr>
          <w:rFonts w:cstheme="minorHAnsi"/>
          <w:sz w:val="24"/>
          <w:szCs w:val="24"/>
        </w:rPr>
      </w:pPr>
      <w:r w:rsidRPr="000C2360">
        <w:rPr>
          <w:rFonts w:cstheme="minorHAnsi"/>
          <w:sz w:val="24"/>
          <w:szCs w:val="24"/>
        </w:rPr>
        <w:t>Dosavadní zvýhodněná pozice citovaných měst byla dána historicky a pro její další zachování</w:t>
      </w:r>
    </w:p>
    <w:p w14:paraId="04158847" w14:textId="77777777" w:rsidR="00CF12DB" w:rsidRPr="000C2360" w:rsidRDefault="00CF12DB" w:rsidP="00CF12DB">
      <w:pPr>
        <w:autoSpaceDE w:val="0"/>
        <w:autoSpaceDN w:val="0"/>
        <w:adjustRightInd w:val="0"/>
        <w:spacing w:after="0" w:line="240" w:lineRule="auto"/>
        <w:jc w:val="both"/>
        <w:rPr>
          <w:rFonts w:cstheme="minorHAnsi"/>
          <w:sz w:val="24"/>
          <w:szCs w:val="24"/>
        </w:rPr>
      </w:pPr>
      <w:r w:rsidRPr="000C2360">
        <w:rPr>
          <w:rFonts w:cstheme="minorHAnsi"/>
          <w:sz w:val="24"/>
          <w:szCs w:val="24"/>
        </w:rPr>
        <w:t>již neexistují objektivní argumenty. Navržený postup koriguje dosavadní výjimečné postavení</w:t>
      </w:r>
    </w:p>
    <w:p w14:paraId="4919B933" w14:textId="77777777" w:rsidR="006032EC" w:rsidRDefault="00CF12DB" w:rsidP="00CD7C03">
      <w:pPr>
        <w:spacing w:line="240" w:lineRule="auto"/>
        <w:jc w:val="both"/>
        <w:rPr>
          <w:rFonts w:cstheme="minorHAnsi"/>
          <w:sz w:val="24"/>
          <w:szCs w:val="24"/>
        </w:rPr>
      </w:pPr>
      <w:r w:rsidRPr="000C2360">
        <w:rPr>
          <w:rFonts w:cstheme="minorHAnsi"/>
          <w:sz w:val="24"/>
          <w:szCs w:val="24"/>
        </w:rPr>
        <w:t>těchto měst a směřuje ke zmenšení rozdílů v příjmech na obyvatele vůči ostatním</w:t>
      </w:r>
      <w:r w:rsidR="006032EC" w:rsidRPr="000C2360">
        <w:rPr>
          <w:rFonts w:cstheme="minorHAnsi"/>
          <w:sz w:val="24"/>
          <w:szCs w:val="24"/>
        </w:rPr>
        <w:t xml:space="preserve"> velkoměstům. Prahy </w:t>
      </w:r>
      <w:r w:rsidR="00C21B8A">
        <w:rPr>
          <w:rFonts w:cstheme="minorHAnsi"/>
          <w:sz w:val="24"/>
          <w:szCs w:val="24"/>
        </w:rPr>
        <w:t xml:space="preserve">s její politickou dominancí se </w:t>
      </w:r>
      <w:r w:rsidR="00C21B8A" w:rsidRPr="000C2360">
        <w:rPr>
          <w:rFonts w:cstheme="minorHAnsi"/>
          <w:sz w:val="24"/>
          <w:szCs w:val="24"/>
        </w:rPr>
        <w:t>ministerstvo</w:t>
      </w:r>
      <w:r w:rsidR="00C21B8A">
        <w:rPr>
          <w:rFonts w:cstheme="minorHAnsi"/>
          <w:sz w:val="24"/>
          <w:szCs w:val="24"/>
        </w:rPr>
        <w:t xml:space="preserve"> </w:t>
      </w:r>
      <w:r w:rsidR="002023C2" w:rsidRPr="000C2360">
        <w:rPr>
          <w:rFonts w:cstheme="minorHAnsi"/>
          <w:sz w:val="24"/>
          <w:szCs w:val="24"/>
        </w:rPr>
        <w:t xml:space="preserve">přece jen </w:t>
      </w:r>
      <w:r w:rsidR="006032EC" w:rsidRPr="000C2360">
        <w:rPr>
          <w:rFonts w:cstheme="minorHAnsi"/>
          <w:sz w:val="24"/>
          <w:szCs w:val="24"/>
        </w:rPr>
        <w:t xml:space="preserve">zaleklo. </w:t>
      </w:r>
      <w:r w:rsidR="002023C2" w:rsidRPr="000C2360">
        <w:rPr>
          <w:rFonts w:cstheme="minorHAnsi"/>
          <w:sz w:val="24"/>
          <w:szCs w:val="24"/>
        </w:rPr>
        <w:t xml:space="preserve">K tomu uvádím </w:t>
      </w:r>
      <w:r w:rsidR="00482763">
        <w:rPr>
          <w:rFonts w:cstheme="minorHAnsi"/>
          <w:sz w:val="24"/>
          <w:szCs w:val="24"/>
        </w:rPr>
        <w:t xml:space="preserve">pro srovnání </w:t>
      </w:r>
      <w:r w:rsidR="002023C2" w:rsidRPr="000C2360">
        <w:rPr>
          <w:rFonts w:cstheme="minorHAnsi"/>
          <w:sz w:val="24"/>
          <w:szCs w:val="24"/>
        </w:rPr>
        <w:t>zase</w:t>
      </w:r>
      <w:r w:rsidR="007E464E" w:rsidRPr="000C2360">
        <w:rPr>
          <w:rFonts w:cstheme="minorHAnsi"/>
          <w:sz w:val="24"/>
          <w:szCs w:val="24"/>
        </w:rPr>
        <w:t xml:space="preserve"> příklad ze SRN, kde nejchudší spolkovou zemí je </w:t>
      </w:r>
      <w:r w:rsidR="002023C2" w:rsidRPr="000C2360">
        <w:rPr>
          <w:rFonts w:cstheme="minorHAnsi"/>
          <w:sz w:val="24"/>
          <w:szCs w:val="24"/>
        </w:rPr>
        <w:t xml:space="preserve">z hlediska daňových příjmů </w:t>
      </w:r>
      <w:r w:rsidR="007E464E" w:rsidRPr="000C2360">
        <w:rPr>
          <w:rFonts w:cstheme="minorHAnsi"/>
          <w:sz w:val="24"/>
          <w:szCs w:val="24"/>
        </w:rPr>
        <w:t xml:space="preserve">právě </w:t>
      </w:r>
      <w:r w:rsidR="002023C2" w:rsidRPr="000C2360">
        <w:rPr>
          <w:rFonts w:cstheme="minorHAnsi"/>
          <w:sz w:val="24"/>
          <w:szCs w:val="24"/>
        </w:rPr>
        <w:t>hlavní město Berlín a proto by ministerstvo fi</w:t>
      </w:r>
      <w:r w:rsidR="007E464E" w:rsidRPr="000C2360">
        <w:rPr>
          <w:rFonts w:cstheme="minorHAnsi"/>
          <w:sz w:val="24"/>
          <w:szCs w:val="24"/>
        </w:rPr>
        <w:t xml:space="preserve">nancí mělo projevit více odvahy v postupu vůči stověžaté matičce měst, snad i proto, že syslí na účtech desítky </w:t>
      </w:r>
      <w:r w:rsidR="00C21B8A">
        <w:rPr>
          <w:rFonts w:cstheme="minorHAnsi"/>
          <w:sz w:val="24"/>
          <w:szCs w:val="24"/>
        </w:rPr>
        <w:t xml:space="preserve"> </w:t>
      </w:r>
      <w:r w:rsidR="007E464E" w:rsidRPr="000C2360">
        <w:rPr>
          <w:rFonts w:cstheme="minorHAnsi"/>
          <w:sz w:val="24"/>
          <w:szCs w:val="24"/>
        </w:rPr>
        <w:t xml:space="preserve">miliard daní ožebračených  regionů, které </w:t>
      </w:r>
      <w:r w:rsidR="00482763">
        <w:rPr>
          <w:rFonts w:cstheme="minorHAnsi"/>
          <w:sz w:val="24"/>
          <w:szCs w:val="24"/>
        </w:rPr>
        <w:t xml:space="preserve">pak </w:t>
      </w:r>
      <w:r w:rsidR="007E464E" w:rsidRPr="000C2360">
        <w:rPr>
          <w:rFonts w:cstheme="minorHAnsi"/>
          <w:sz w:val="24"/>
          <w:szCs w:val="24"/>
        </w:rPr>
        <w:t xml:space="preserve">ani nestačí utrácet, a státní kasa zeje prázdnotou a státní dluh stoupá k netušeným výšinám. </w:t>
      </w:r>
    </w:p>
    <w:p w14:paraId="7AE2B636" w14:textId="77777777" w:rsidR="009800E3" w:rsidRPr="009800E3" w:rsidRDefault="009800E3" w:rsidP="009576DB">
      <w:pPr>
        <w:spacing w:after="0" w:line="240" w:lineRule="auto"/>
        <w:jc w:val="both"/>
        <w:rPr>
          <w:rFonts w:cstheme="minorHAnsi"/>
          <w:iCs/>
          <w:sz w:val="32"/>
          <w:szCs w:val="24"/>
        </w:rPr>
      </w:pPr>
      <w:r w:rsidRPr="009800E3">
        <w:rPr>
          <w:rFonts w:cstheme="minorHAnsi"/>
          <w:sz w:val="32"/>
          <w:szCs w:val="24"/>
        </w:rPr>
        <w:t>Karvinská iniciativa</w:t>
      </w:r>
    </w:p>
    <w:p w14:paraId="667529E7" w14:textId="77777777" w:rsidR="00CF12DB" w:rsidRPr="000C55D2" w:rsidRDefault="00C21B8A" w:rsidP="009576DB">
      <w:pPr>
        <w:autoSpaceDE w:val="0"/>
        <w:autoSpaceDN w:val="0"/>
        <w:adjustRightInd w:val="0"/>
        <w:spacing w:after="0" w:line="240" w:lineRule="auto"/>
        <w:jc w:val="both"/>
        <w:rPr>
          <w:rFonts w:cstheme="minorHAnsi"/>
          <w:sz w:val="24"/>
          <w:szCs w:val="24"/>
        </w:rPr>
      </w:pPr>
      <w:r>
        <w:rPr>
          <w:rFonts w:cstheme="minorHAnsi"/>
          <w:sz w:val="24"/>
          <w:szCs w:val="24"/>
        </w:rPr>
        <w:t>S</w:t>
      </w:r>
      <w:r w:rsidR="00304EFE">
        <w:rPr>
          <w:rFonts w:cstheme="minorHAnsi"/>
          <w:sz w:val="24"/>
          <w:szCs w:val="24"/>
        </w:rPr>
        <w:t xml:space="preserve"> </w:t>
      </w:r>
      <w:r>
        <w:rPr>
          <w:rFonts w:cstheme="minorHAnsi"/>
          <w:sz w:val="24"/>
          <w:szCs w:val="24"/>
        </w:rPr>
        <w:t xml:space="preserve">jiným </w:t>
      </w:r>
      <w:r w:rsidR="00304EFE">
        <w:rPr>
          <w:rFonts w:cstheme="minorHAnsi"/>
          <w:sz w:val="24"/>
          <w:szCs w:val="24"/>
        </w:rPr>
        <w:t>zajímavým návrhem na rozdělování daní ve prospěch postižených lokalit přišl</w:t>
      </w:r>
      <w:r w:rsidR="009800E3">
        <w:rPr>
          <w:rFonts w:cstheme="minorHAnsi"/>
          <w:sz w:val="24"/>
          <w:szCs w:val="24"/>
        </w:rPr>
        <w:t>o</w:t>
      </w:r>
      <w:r w:rsidR="00304EFE">
        <w:rPr>
          <w:rFonts w:cstheme="minorHAnsi"/>
          <w:sz w:val="24"/>
          <w:szCs w:val="24"/>
        </w:rPr>
        <w:t xml:space="preserve"> </w:t>
      </w:r>
      <w:r w:rsidR="009800E3">
        <w:rPr>
          <w:rFonts w:cstheme="minorHAnsi"/>
          <w:sz w:val="24"/>
          <w:szCs w:val="24"/>
        </w:rPr>
        <w:t>město</w:t>
      </w:r>
      <w:r w:rsidR="00304EFE">
        <w:rPr>
          <w:rFonts w:cstheme="minorHAnsi"/>
          <w:sz w:val="24"/>
          <w:szCs w:val="24"/>
        </w:rPr>
        <w:t> K</w:t>
      </w:r>
      <w:r w:rsidR="009800E3">
        <w:rPr>
          <w:rFonts w:cstheme="minorHAnsi"/>
          <w:sz w:val="24"/>
          <w:szCs w:val="24"/>
        </w:rPr>
        <w:t xml:space="preserve">arviná, </w:t>
      </w:r>
      <w:r w:rsidR="009800E3" w:rsidRPr="009576DB">
        <w:rPr>
          <w:rFonts w:cstheme="minorHAnsi"/>
          <w:b/>
          <w:sz w:val="24"/>
          <w:szCs w:val="24"/>
        </w:rPr>
        <w:t>město</w:t>
      </w:r>
      <w:r w:rsidR="00304EFE" w:rsidRPr="009576DB">
        <w:rPr>
          <w:rFonts w:cstheme="minorHAnsi"/>
          <w:b/>
          <w:sz w:val="24"/>
          <w:szCs w:val="24"/>
        </w:rPr>
        <w:t xml:space="preserve"> s největším úbytkem obyvatel v ČR</w:t>
      </w:r>
      <w:r w:rsidR="00304EFE">
        <w:rPr>
          <w:rFonts w:cstheme="minorHAnsi"/>
          <w:sz w:val="24"/>
          <w:szCs w:val="24"/>
        </w:rPr>
        <w:t xml:space="preserve">. </w:t>
      </w:r>
      <w:r w:rsidR="000C55D2">
        <w:rPr>
          <w:rFonts w:cstheme="minorHAnsi"/>
          <w:sz w:val="24"/>
          <w:szCs w:val="24"/>
        </w:rPr>
        <w:t xml:space="preserve"> Principem jeho návrhu je </w:t>
      </w:r>
      <w:r w:rsidR="00DD705F">
        <w:rPr>
          <w:rFonts w:cstheme="minorHAnsi"/>
          <w:sz w:val="24"/>
          <w:szCs w:val="24"/>
        </w:rPr>
        <w:lastRenderedPageBreak/>
        <w:t>přerozdělení financí z RUD přímo do rozpočtů obcí v okresech s největší statistikou patologických jevů.  Tyto prostředky by měly být získány z 1% celkově vybraných prostředků RUD</w:t>
      </w:r>
      <w:r w:rsidR="009800E3">
        <w:rPr>
          <w:rFonts w:cstheme="minorHAnsi"/>
          <w:sz w:val="24"/>
          <w:szCs w:val="24"/>
        </w:rPr>
        <w:t xml:space="preserve"> v ČR</w:t>
      </w:r>
      <w:r w:rsidR="0024395C">
        <w:rPr>
          <w:rFonts w:cstheme="minorHAnsi"/>
          <w:sz w:val="24"/>
          <w:szCs w:val="24"/>
        </w:rPr>
        <w:t xml:space="preserve">, dále </w:t>
      </w:r>
      <w:r>
        <w:rPr>
          <w:rFonts w:cstheme="minorHAnsi"/>
          <w:sz w:val="24"/>
          <w:szCs w:val="24"/>
        </w:rPr>
        <w:t xml:space="preserve">z </w:t>
      </w:r>
      <w:r w:rsidR="0024395C">
        <w:rPr>
          <w:rFonts w:cstheme="minorHAnsi"/>
          <w:sz w:val="24"/>
          <w:szCs w:val="24"/>
        </w:rPr>
        <w:t>1% z RUD oněch měst s koeficientem velkých měst, tedy Prahy, Brna, Ostravy a Plzně a uvažoval</w:t>
      </w:r>
      <w:r w:rsidR="009800E3">
        <w:rPr>
          <w:rFonts w:cstheme="minorHAnsi"/>
          <w:sz w:val="24"/>
          <w:szCs w:val="24"/>
        </w:rPr>
        <w:t>o se</w:t>
      </w:r>
      <w:r w:rsidR="0024395C">
        <w:rPr>
          <w:rFonts w:cstheme="minorHAnsi"/>
          <w:sz w:val="24"/>
          <w:szCs w:val="24"/>
        </w:rPr>
        <w:t xml:space="preserve"> také </w:t>
      </w:r>
      <w:r w:rsidR="009800E3">
        <w:rPr>
          <w:rFonts w:cstheme="minorHAnsi"/>
          <w:sz w:val="24"/>
          <w:szCs w:val="24"/>
        </w:rPr>
        <w:t>s alternativou vzít</w:t>
      </w:r>
      <w:r w:rsidR="0024395C">
        <w:rPr>
          <w:rFonts w:cstheme="minorHAnsi"/>
          <w:sz w:val="24"/>
          <w:szCs w:val="24"/>
        </w:rPr>
        <w:t xml:space="preserve"> 1% z RUD </w:t>
      </w:r>
      <w:r w:rsidR="00CD7C03">
        <w:rPr>
          <w:rFonts w:cstheme="minorHAnsi"/>
          <w:sz w:val="24"/>
          <w:szCs w:val="24"/>
        </w:rPr>
        <w:t>krajů (viz tabulka níže).</w:t>
      </w:r>
    </w:p>
    <w:p w14:paraId="37D57F86" w14:textId="77777777" w:rsidR="00DF5999" w:rsidRDefault="00DF5999" w:rsidP="00B02599">
      <w:pPr>
        <w:autoSpaceDE w:val="0"/>
        <w:autoSpaceDN w:val="0"/>
        <w:adjustRightInd w:val="0"/>
        <w:spacing w:after="0" w:line="240" w:lineRule="auto"/>
        <w:rPr>
          <w:rFonts w:ascii="Segoe UI" w:hAnsi="Segoe UI" w:cs="Segoe UI"/>
          <w:color w:val="212529"/>
          <w:shd w:val="clear" w:color="auto" w:fill="FFFFFF"/>
        </w:rPr>
      </w:pPr>
    </w:p>
    <w:p w14:paraId="148A1425" w14:textId="77777777" w:rsidR="00DF5999" w:rsidRDefault="00DF5999" w:rsidP="00B02599">
      <w:pPr>
        <w:autoSpaceDE w:val="0"/>
        <w:autoSpaceDN w:val="0"/>
        <w:adjustRightInd w:val="0"/>
        <w:spacing w:after="0" w:line="240" w:lineRule="auto"/>
        <w:rPr>
          <w:rFonts w:ascii="Segoe UI" w:hAnsi="Segoe UI" w:cs="Segoe UI"/>
          <w:color w:val="212529"/>
          <w:shd w:val="clear" w:color="auto" w:fill="FFFFFF"/>
        </w:rPr>
      </w:pPr>
    </w:p>
    <w:p w14:paraId="10338877" w14:textId="77777777" w:rsidR="00DF5999" w:rsidRDefault="00DF5999" w:rsidP="00B02599">
      <w:pPr>
        <w:autoSpaceDE w:val="0"/>
        <w:autoSpaceDN w:val="0"/>
        <w:adjustRightInd w:val="0"/>
        <w:spacing w:after="0" w:line="240" w:lineRule="auto"/>
        <w:rPr>
          <w:rFonts w:ascii="Segoe UI" w:hAnsi="Segoe UI" w:cs="Segoe UI"/>
          <w:color w:val="212529"/>
          <w:shd w:val="clear" w:color="auto" w:fill="FFFFFF"/>
        </w:rPr>
      </w:pPr>
    </w:p>
    <w:tbl>
      <w:tblPr>
        <w:tblW w:w="911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63"/>
        <w:gridCol w:w="992"/>
        <w:gridCol w:w="851"/>
        <w:gridCol w:w="1275"/>
        <w:gridCol w:w="709"/>
        <w:gridCol w:w="709"/>
        <w:gridCol w:w="1134"/>
        <w:gridCol w:w="709"/>
        <w:gridCol w:w="1275"/>
      </w:tblGrid>
      <w:tr w:rsidR="00356E7A" w:rsidRPr="00356E7A" w14:paraId="3A9D724C" w14:textId="77777777" w:rsidTr="006E6CE8">
        <w:trPr>
          <w:trHeight w:val="279"/>
          <w:tblHeader/>
        </w:trPr>
        <w:tc>
          <w:tcPr>
            <w:tcW w:w="9117" w:type="dxa"/>
            <w:gridSpan w:val="9"/>
            <w:tcBorders>
              <w:top w:val="nil"/>
              <w:left w:val="nil"/>
              <w:bottom w:val="nil"/>
              <w:right w:val="nil"/>
            </w:tcBorders>
            <w:shd w:val="clear" w:color="auto" w:fill="D7D7D7"/>
            <w:tcMar>
              <w:top w:w="15" w:type="dxa"/>
              <w:left w:w="45" w:type="dxa"/>
              <w:bottom w:w="15" w:type="dxa"/>
              <w:right w:w="45" w:type="dxa"/>
            </w:tcMar>
            <w:vAlign w:val="center"/>
            <w:hideMark/>
          </w:tcPr>
          <w:p w14:paraId="2406F97A" w14:textId="77777777" w:rsidR="00356E7A" w:rsidRPr="00DF5999" w:rsidRDefault="00356E7A" w:rsidP="00356E7A">
            <w:pPr>
              <w:spacing w:after="0" w:line="240" w:lineRule="auto"/>
              <w:rPr>
                <w:rFonts w:eastAsia="Times New Roman" w:cstheme="minorHAnsi"/>
                <w:b/>
                <w:bCs/>
                <w:color w:val="6C757D"/>
                <w:sz w:val="18"/>
                <w:szCs w:val="18"/>
                <w:lang w:eastAsia="cs-CZ"/>
              </w:rPr>
            </w:pPr>
            <w:r w:rsidRPr="00DF5999">
              <w:rPr>
                <w:rFonts w:eastAsia="Times New Roman" w:cstheme="minorHAnsi"/>
                <w:b/>
                <w:bCs/>
                <w:color w:val="6C757D"/>
                <w:sz w:val="18"/>
                <w:szCs w:val="18"/>
                <w:lang w:eastAsia="cs-CZ"/>
              </w:rPr>
              <w:t>Tab. 2. Přerozdělení RUD do deseti rizikových okresů</w:t>
            </w:r>
          </w:p>
        </w:tc>
      </w:tr>
      <w:tr w:rsidR="006E6CE8" w:rsidRPr="00356E7A" w14:paraId="43ACD55F" w14:textId="77777777" w:rsidTr="006E6CE8">
        <w:trPr>
          <w:tblHeader/>
        </w:trPr>
        <w:tc>
          <w:tcPr>
            <w:tcW w:w="1463"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5369132"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Název kraje</w:t>
            </w:r>
          </w:p>
        </w:tc>
        <w:tc>
          <w:tcPr>
            <w:tcW w:w="992"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596CFEDC"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Název okresu</w:t>
            </w:r>
          </w:p>
        </w:tc>
        <w:tc>
          <w:tcPr>
            <w:tcW w:w="851"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57A13A4"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Počet obyvatel k 1. lednu 2018</w:t>
            </w:r>
          </w:p>
        </w:tc>
        <w:tc>
          <w:tcPr>
            <w:tcW w:w="1275"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7504C9F"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RUD celkem</w:t>
            </w:r>
          </w:p>
        </w:tc>
        <w:tc>
          <w:tcPr>
            <w:tcW w:w="709"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5E986BFE"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Výnos příjmů dle RUD na 1 oby</w:t>
            </w:r>
            <w:r w:rsidRPr="00DF5999">
              <w:rPr>
                <w:rFonts w:eastAsia="Times New Roman" w:cstheme="minorHAnsi"/>
                <w:b/>
                <w:bCs/>
                <w:color w:val="212529"/>
                <w:sz w:val="18"/>
                <w:szCs w:val="18"/>
                <w:lang w:eastAsia="cs-CZ"/>
              </w:rPr>
              <w:softHyphen/>
              <w:t>vatele</w:t>
            </w: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1873CF69"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6E6CE8">
              <w:rPr>
                <w:rFonts w:eastAsia="Times New Roman" w:cstheme="minorHAnsi"/>
                <w:b/>
                <w:bCs/>
                <w:color w:val="212529"/>
                <w:sz w:val="16"/>
                <w:szCs w:val="18"/>
                <w:lang w:eastAsia="cs-CZ"/>
              </w:rPr>
              <w:t>Kč/1 oby</w:t>
            </w:r>
            <w:r w:rsidRPr="006E6CE8">
              <w:rPr>
                <w:rFonts w:eastAsia="Times New Roman" w:cstheme="minorHAnsi"/>
                <w:b/>
                <w:bCs/>
                <w:color w:val="212529"/>
                <w:sz w:val="16"/>
                <w:szCs w:val="18"/>
                <w:lang w:eastAsia="cs-CZ"/>
              </w:rPr>
              <w:softHyphen/>
              <w:t>vatele</w:t>
            </w:r>
          </w:p>
        </w:tc>
        <w:tc>
          <w:tcPr>
            <w:tcW w:w="1134"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2DE8A458"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Kč celkem/1 rok</w:t>
            </w:r>
          </w:p>
        </w:tc>
        <w:tc>
          <w:tcPr>
            <w:tcW w:w="709"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50F59C75"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Výnos příjmů dle RUD na 1 oby</w:t>
            </w:r>
            <w:r w:rsidRPr="00DF5999">
              <w:rPr>
                <w:rFonts w:eastAsia="Times New Roman" w:cstheme="minorHAnsi"/>
                <w:b/>
                <w:bCs/>
                <w:color w:val="212529"/>
                <w:sz w:val="18"/>
                <w:szCs w:val="18"/>
                <w:lang w:eastAsia="cs-CZ"/>
              </w:rPr>
              <w:softHyphen/>
              <w:t>vatele po úpravě</w:t>
            </w:r>
          </w:p>
        </w:tc>
        <w:tc>
          <w:tcPr>
            <w:tcW w:w="1275" w:type="dxa"/>
            <w:vMerge w:val="restart"/>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9802232"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RUD celkem po úpravě</w:t>
            </w:r>
          </w:p>
        </w:tc>
      </w:tr>
      <w:tr w:rsidR="006E6CE8" w:rsidRPr="00356E7A" w14:paraId="642FFEFD" w14:textId="77777777" w:rsidTr="006E6CE8">
        <w:trPr>
          <w:tblHeader/>
        </w:trPr>
        <w:tc>
          <w:tcPr>
            <w:tcW w:w="1463"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8826511"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992"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1D6C28ED"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851"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96AC737"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70696EE1"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17CFAF24"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157EC63B"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snížení z RUD</w:t>
            </w:r>
          </w:p>
        </w:tc>
        <w:tc>
          <w:tcPr>
            <w:tcW w:w="1134"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3B878A38"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snížení z RUD</w:t>
            </w: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9CE5671"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BD70D8F" w14:textId="77777777" w:rsidR="00356E7A" w:rsidRPr="00DF5999" w:rsidRDefault="00356E7A" w:rsidP="00356E7A">
            <w:pPr>
              <w:spacing w:after="0" w:line="240" w:lineRule="auto"/>
              <w:rPr>
                <w:rFonts w:eastAsia="Times New Roman" w:cstheme="minorHAnsi"/>
                <w:b/>
                <w:bCs/>
                <w:color w:val="212529"/>
                <w:sz w:val="18"/>
                <w:szCs w:val="18"/>
                <w:lang w:eastAsia="cs-CZ"/>
              </w:rPr>
            </w:pPr>
          </w:p>
        </w:tc>
      </w:tr>
      <w:tr w:rsidR="006E6CE8" w:rsidRPr="00356E7A" w14:paraId="3633038B" w14:textId="77777777" w:rsidTr="006E6CE8">
        <w:trPr>
          <w:tblHeader/>
        </w:trPr>
        <w:tc>
          <w:tcPr>
            <w:tcW w:w="1463"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20561A29"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992"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2236601A"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851"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1B118AAE"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0B0208C2"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6816C241"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4C273844"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1 %</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17A65DD3"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1 %</w:t>
            </w: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646A2850"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7997BE6" w14:textId="77777777" w:rsidR="00356E7A" w:rsidRPr="00DF5999" w:rsidRDefault="00356E7A" w:rsidP="00356E7A">
            <w:pPr>
              <w:spacing w:after="0" w:line="240" w:lineRule="auto"/>
              <w:rPr>
                <w:rFonts w:eastAsia="Times New Roman" w:cstheme="minorHAnsi"/>
                <w:b/>
                <w:bCs/>
                <w:color w:val="212529"/>
                <w:sz w:val="18"/>
                <w:szCs w:val="18"/>
                <w:lang w:eastAsia="cs-CZ"/>
              </w:rPr>
            </w:pPr>
          </w:p>
        </w:tc>
      </w:tr>
      <w:tr w:rsidR="006E6CE8" w:rsidRPr="00356E7A" w14:paraId="5E52ED85" w14:textId="77777777" w:rsidTr="006E6CE8">
        <w:trPr>
          <w:tblHeader/>
        </w:trPr>
        <w:tc>
          <w:tcPr>
            <w:tcW w:w="1463"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E1BAEEE"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992"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6712CC95"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851"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73F4E17"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32A399A7"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494A7894"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900A899"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6E6CE8">
              <w:rPr>
                <w:rFonts w:eastAsia="Times New Roman" w:cstheme="minorHAnsi"/>
                <w:b/>
                <w:bCs/>
                <w:color w:val="212529"/>
                <w:sz w:val="16"/>
                <w:szCs w:val="18"/>
                <w:lang w:eastAsia="cs-CZ"/>
              </w:rPr>
              <w:t>navýšení RUD</w:t>
            </w:r>
          </w:p>
        </w:tc>
        <w:tc>
          <w:tcPr>
            <w:tcW w:w="1134"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3950BF76"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69CDEF73"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1C6809F6" w14:textId="77777777" w:rsidR="00356E7A" w:rsidRPr="00DF5999" w:rsidRDefault="00356E7A" w:rsidP="00356E7A">
            <w:pPr>
              <w:spacing w:after="0" w:line="240" w:lineRule="auto"/>
              <w:rPr>
                <w:rFonts w:eastAsia="Times New Roman" w:cstheme="minorHAnsi"/>
                <w:b/>
                <w:bCs/>
                <w:color w:val="212529"/>
                <w:sz w:val="18"/>
                <w:szCs w:val="18"/>
                <w:lang w:eastAsia="cs-CZ"/>
              </w:rPr>
            </w:pPr>
          </w:p>
        </w:tc>
      </w:tr>
      <w:tr w:rsidR="006E6CE8" w:rsidRPr="00356E7A" w14:paraId="713AE65E" w14:textId="77777777" w:rsidTr="006E6CE8">
        <w:trPr>
          <w:tblHeader/>
        </w:trPr>
        <w:tc>
          <w:tcPr>
            <w:tcW w:w="1463"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2E6EE846"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992"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6FD1A0EA"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851"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81728E4"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0B88A4A6"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14212469"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567E9B26"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1 %</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5212D3D3"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1 %</w:t>
            </w:r>
          </w:p>
        </w:tc>
        <w:tc>
          <w:tcPr>
            <w:tcW w:w="709"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37552962" w14:textId="77777777" w:rsidR="00356E7A" w:rsidRPr="00DF5999" w:rsidRDefault="00356E7A" w:rsidP="00356E7A">
            <w:pPr>
              <w:spacing w:after="0" w:line="240" w:lineRule="auto"/>
              <w:rPr>
                <w:rFonts w:eastAsia="Times New Roman" w:cstheme="minorHAnsi"/>
                <w:b/>
                <w:bCs/>
                <w:color w:val="212529"/>
                <w:sz w:val="18"/>
                <w:szCs w:val="18"/>
                <w:lang w:eastAsia="cs-CZ"/>
              </w:rPr>
            </w:pPr>
          </w:p>
        </w:tc>
        <w:tc>
          <w:tcPr>
            <w:tcW w:w="1275" w:type="dxa"/>
            <w:vMerge/>
            <w:tcBorders>
              <w:top w:val="single" w:sz="6" w:space="0" w:color="8D8D8D"/>
              <w:left w:val="single" w:sz="6" w:space="0" w:color="8D8D8D"/>
              <w:bottom w:val="single" w:sz="6" w:space="0" w:color="8D8D8D"/>
              <w:right w:val="single" w:sz="6" w:space="0" w:color="8D8D8D"/>
            </w:tcBorders>
            <w:shd w:val="clear" w:color="auto" w:fill="FFFFFF"/>
            <w:vAlign w:val="center"/>
            <w:hideMark/>
          </w:tcPr>
          <w:p w14:paraId="59216560" w14:textId="77777777" w:rsidR="00356E7A" w:rsidRPr="00DF5999" w:rsidRDefault="00356E7A" w:rsidP="00356E7A">
            <w:pPr>
              <w:spacing w:after="0" w:line="240" w:lineRule="auto"/>
              <w:rPr>
                <w:rFonts w:eastAsia="Times New Roman" w:cstheme="minorHAnsi"/>
                <w:b/>
                <w:bCs/>
                <w:color w:val="212529"/>
                <w:sz w:val="18"/>
                <w:szCs w:val="18"/>
                <w:lang w:eastAsia="cs-CZ"/>
              </w:rPr>
            </w:pPr>
          </w:p>
        </w:tc>
      </w:tr>
      <w:tr w:rsidR="006E6CE8" w:rsidRPr="00356E7A" w14:paraId="04D9891D" w14:textId="77777777" w:rsidTr="006E6CE8">
        <w:trPr>
          <w:tblHeader/>
        </w:trPr>
        <w:tc>
          <w:tcPr>
            <w:tcW w:w="1463"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BA4A3D3"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1</w:t>
            </w:r>
          </w:p>
        </w:tc>
        <w:tc>
          <w:tcPr>
            <w:tcW w:w="992"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62DC345"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2</w:t>
            </w:r>
          </w:p>
        </w:tc>
        <w:tc>
          <w:tcPr>
            <w:tcW w:w="851"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54A92461"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3</w:t>
            </w:r>
          </w:p>
        </w:tc>
        <w:tc>
          <w:tcPr>
            <w:tcW w:w="1275"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7E56FE2"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4</w:t>
            </w: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3802185B"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5</w:t>
            </w: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36D1A39"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6</w:t>
            </w:r>
          </w:p>
        </w:tc>
        <w:tc>
          <w:tcPr>
            <w:tcW w:w="1134"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B93DB44"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7</w:t>
            </w:r>
          </w:p>
        </w:tc>
        <w:tc>
          <w:tcPr>
            <w:tcW w:w="709"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024FA263"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8</w:t>
            </w:r>
          </w:p>
        </w:tc>
        <w:tc>
          <w:tcPr>
            <w:tcW w:w="1275"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4156BE8" w14:textId="77777777" w:rsidR="00356E7A" w:rsidRPr="00DF5999" w:rsidRDefault="00356E7A" w:rsidP="00356E7A">
            <w:pPr>
              <w:spacing w:after="0" w:line="240" w:lineRule="auto"/>
              <w:jc w:val="center"/>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9</w:t>
            </w:r>
          </w:p>
        </w:tc>
      </w:tr>
      <w:tr w:rsidR="006E6CE8" w:rsidRPr="00356E7A" w14:paraId="3FB1E08F"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86DE23F"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ČR – včetně 4 velkých</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A8D5405"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všechna města</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ADD021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10 610 055</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BA5B74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191 818 908 341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F75A604"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18 079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F6EC54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181</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792851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1 918 189 083</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B079BF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DF734C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189 900 719 257</w:t>
            </w:r>
          </w:p>
        </w:tc>
      </w:tr>
      <w:tr w:rsidR="006E6CE8" w:rsidRPr="00356E7A" w14:paraId="258190D6"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600B56D"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Hlavní město Praha</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43CEA85"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Praha</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FFDB494"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1 294 513</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305577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54 269 173 494</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EF8ADC4"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41 922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52F33F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419</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EEA271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542 691 735</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7EA36FB"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F4C19A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53 726 481 759</w:t>
            </w:r>
          </w:p>
        </w:tc>
      </w:tr>
      <w:tr w:rsidR="006E6CE8" w:rsidRPr="00356E7A" w14:paraId="53A7ABB2"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69E21CE"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Jihomoravský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B83C14A"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Brno-město</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89B0B9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379 527</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F19C77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9 643 456 373</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B07535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25 409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3150259"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254</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808170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96 434 564</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9693E57"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58969A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9 547 021 809</w:t>
            </w:r>
          </w:p>
        </w:tc>
      </w:tr>
      <w:tr w:rsidR="006E6CE8" w:rsidRPr="00356E7A" w14:paraId="0FBC6AFC"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272BF0D"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Moravskoslezský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7184B6F"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Ostrava-město</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A12C8E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322 419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DB11444"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7 348 903 936</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D6334D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22 793</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1EF088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228</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A26F69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73 489 039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3CEC6A3"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EA7358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7 275 414 897</w:t>
            </w:r>
          </w:p>
        </w:tc>
      </w:tr>
      <w:tr w:rsidR="006E6CE8" w:rsidRPr="00356E7A" w14:paraId="7678881A"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A610636"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Plzeňský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7381618"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Plzeň-město</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DB44D5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189 747</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907EC6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4 343 535 722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005178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22 891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E64E71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229</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002550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43 435 357</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4845770"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41B4D7E"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4 300 100 365</w:t>
            </w:r>
          </w:p>
        </w:tc>
      </w:tr>
      <w:tr w:rsidR="006E6CE8" w:rsidRPr="00356E7A" w14:paraId="0AA9E096"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90A4988"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AB3921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5F8523A"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27734B1"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22D37ED"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2BC75FD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1 311</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1AB434F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2 674 239 779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E609F41"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BCA4AF2" w14:textId="77777777" w:rsidR="00356E7A" w:rsidRPr="00DF5999" w:rsidRDefault="00356E7A" w:rsidP="00356E7A">
            <w:pPr>
              <w:spacing w:after="0" w:line="240" w:lineRule="auto"/>
              <w:rPr>
                <w:rFonts w:eastAsia="Times New Roman" w:cstheme="minorHAnsi"/>
                <w:color w:val="212529"/>
                <w:sz w:val="18"/>
                <w:szCs w:val="18"/>
                <w:lang w:eastAsia="cs-CZ"/>
              </w:rPr>
            </w:pPr>
          </w:p>
        </w:tc>
      </w:tr>
      <w:tr w:rsidR="006E6CE8" w:rsidRPr="00356E7A" w14:paraId="384BA150"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219969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AB2C5E5"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75EAE05"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646C8C3"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490BD9A"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FC691D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FD5B739"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4E308E8"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4D98838" w14:textId="77777777" w:rsidR="00356E7A" w:rsidRPr="00DF5999" w:rsidRDefault="00356E7A" w:rsidP="00356E7A">
            <w:pPr>
              <w:spacing w:after="0" w:line="240" w:lineRule="auto"/>
              <w:rPr>
                <w:rFonts w:eastAsia="Times New Roman" w:cstheme="minorHAnsi"/>
                <w:color w:val="212529"/>
                <w:sz w:val="18"/>
                <w:szCs w:val="18"/>
                <w:lang w:eastAsia="cs-CZ"/>
              </w:rPr>
            </w:pPr>
          </w:p>
        </w:tc>
      </w:tr>
      <w:tr w:rsidR="006E6CE8" w:rsidRPr="00356E7A" w14:paraId="134777CB"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48785327" w14:textId="77777777" w:rsidR="00356E7A" w:rsidRPr="00DF5999" w:rsidRDefault="00356E7A" w:rsidP="00356E7A">
            <w:pPr>
              <w:spacing w:after="0" w:line="240" w:lineRule="auto"/>
              <w:rPr>
                <w:rFonts w:eastAsia="Times New Roman" w:cstheme="minorHAnsi"/>
                <w:b/>
                <w:bCs/>
                <w:color w:val="212529"/>
                <w:sz w:val="18"/>
                <w:szCs w:val="18"/>
                <w:lang w:eastAsia="cs-CZ"/>
              </w:rPr>
            </w:pPr>
            <w:r w:rsidRPr="00DF5999">
              <w:rPr>
                <w:rFonts w:eastAsia="Times New Roman" w:cstheme="minorHAnsi"/>
                <w:b/>
                <w:bCs/>
                <w:color w:val="212529"/>
                <w:sz w:val="18"/>
                <w:szCs w:val="18"/>
                <w:lang w:eastAsia="cs-CZ"/>
              </w:rPr>
              <w:t>Rizikové okresy</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B1AD7E2"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FD8D55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C7D3516"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A6A559A"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C62A8CC"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 xml:space="preserve">+ − </w:t>
            </w:r>
            <w:r w:rsidRPr="006E6CE8">
              <w:rPr>
                <w:rFonts w:eastAsia="Times New Roman" w:cstheme="minorHAnsi"/>
                <w:color w:val="212529"/>
                <w:sz w:val="14"/>
                <w:szCs w:val="18"/>
                <w:lang w:eastAsia="cs-CZ"/>
              </w:rPr>
              <w:t xml:space="preserve">snížení, </w:t>
            </w:r>
            <w:r w:rsidRPr="006E6CE8">
              <w:rPr>
                <w:rFonts w:eastAsia="Times New Roman" w:cstheme="minorHAnsi"/>
                <w:color w:val="212529"/>
                <w:sz w:val="12"/>
                <w:szCs w:val="18"/>
                <w:lang w:eastAsia="cs-CZ"/>
              </w:rPr>
              <w:t>navýšení</w:t>
            </w:r>
          </w:p>
        </w:tc>
        <w:tc>
          <w:tcPr>
            <w:tcW w:w="1134"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FF26842" w14:textId="77777777" w:rsidR="00356E7A" w:rsidRPr="00DF5999" w:rsidRDefault="006E6CE8" w:rsidP="00356E7A">
            <w:pPr>
              <w:spacing w:after="0" w:line="240" w:lineRule="auto"/>
              <w:rPr>
                <w:rFonts w:eastAsia="Times New Roman" w:cstheme="minorHAnsi"/>
                <w:color w:val="212529"/>
                <w:sz w:val="18"/>
                <w:szCs w:val="18"/>
                <w:lang w:eastAsia="cs-CZ"/>
              </w:rPr>
            </w:pPr>
            <w:r>
              <w:rPr>
                <w:rFonts w:eastAsia="Times New Roman" w:cstheme="minorHAnsi"/>
                <w:color w:val="212529"/>
                <w:sz w:val="18"/>
                <w:szCs w:val="18"/>
                <w:lang w:eastAsia="cs-CZ"/>
              </w:rPr>
              <w:t xml:space="preserve">     </w:t>
            </w:r>
            <w:r w:rsidR="00356E7A" w:rsidRPr="00DF5999">
              <w:rPr>
                <w:rFonts w:eastAsia="Times New Roman" w:cstheme="minorHAnsi"/>
                <w:color w:val="212529"/>
                <w:sz w:val="18"/>
                <w:szCs w:val="18"/>
                <w:lang w:eastAsia="cs-CZ"/>
              </w:rPr>
              <w:t>navýšení</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196971F"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93076B9" w14:textId="77777777" w:rsidR="00356E7A" w:rsidRPr="00DF5999" w:rsidRDefault="00356E7A" w:rsidP="00356E7A">
            <w:pPr>
              <w:spacing w:after="0" w:line="240" w:lineRule="auto"/>
              <w:rPr>
                <w:rFonts w:eastAsia="Times New Roman" w:cstheme="minorHAnsi"/>
                <w:color w:val="212529"/>
                <w:sz w:val="18"/>
                <w:szCs w:val="18"/>
                <w:lang w:eastAsia="cs-CZ"/>
              </w:rPr>
            </w:pPr>
          </w:p>
        </w:tc>
      </w:tr>
      <w:tr w:rsidR="006E6CE8" w:rsidRPr="00356E7A" w14:paraId="58D29A37"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7CB5F65"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Moravskoslezský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0176575"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Karviná</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C9C031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249 377</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82F24B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3 378 293 727</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39FF2C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13 547</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2A31403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1 824</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3E785C5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488 623 155</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A7C16F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15 371</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58A61B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3 866 916 882</w:t>
            </w:r>
          </w:p>
        </w:tc>
      </w:tr>
      <w:tr w:rsidR="006E6CE8" w:rsidRPr="00356E7A" w14:paraId="4D5D32BB"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27324CC"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Ústecký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6576068"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Most</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11A356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112 594</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57F45B2"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1 560 694 228</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EA1ADF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13 861</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0B9C5AD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1 821</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0854B53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220 613 912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4B95FD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15 682</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69E98E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1 781 308 140</w:t>
            </w:r>
          </w:p>
        </w:tc>
      </w:tr>
      <w:tr w:rsidR="006E6CE8" w:rsidRPr="00356E7A" w14:paraId="46484624"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B701517"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Moravskoslezský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5E5CF12"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Ostrava-město</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C45DCD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322 419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F356B1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7 767 398 107</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F59FC1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24 091</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5A27E02E"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1 718</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46D033E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631 739 852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C64140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25 809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661856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8 399 137 959</w:t>
            </w:r>
          </w:p>
        </w:tc>
      </w:tr>
      <w:tr w:rsidR="006E6CE8" w:rsidRPr="00356E7A" w14:paraId="714D8D35"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DB7BEF9"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Moravskoslezský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D2645DF"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Bruntál</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053800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92 453</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E63B53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1 293 031 691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22B874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13 986</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3AF24EA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1 820</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7CC0CAB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181 150 132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B2DAB1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15 805</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2097EA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1 474 181 823</w:t>
            </w:r>
          </w:p>
        </w:tc>
      </w:tr>
      <w:tr w:rsidR="006E6CE8" w:rsidRPr="00356E7A" w14:paraId="33255CFF"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72F2CDB"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Ústecký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7D8981C"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Děčín</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B50601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130 329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583E86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1 789 929 010</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07806F9"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13 734</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67B0377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1 822</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6E4D25E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255 363 435</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0B4D07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15 556</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3AD1C59"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2 045 292 445</w:t>
            </w:r>
          </w:p>
        </w:tc>
      </w:tr>
      <w:tr w:rsidR="006E6CE8" w:rsidRPr="00356E7A" w14:paraId="3321FECA"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B6D743C"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Ústecký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110F437"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Ústí nad Labem</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275DAB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119 498</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E5383C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1 716 332 131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4F2599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14 363</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30637449"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1 816</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7270CF1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234 141 440</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CC6670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16 179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26B22C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1 950 473 571</w:t>
            </w:r>
          </w:p>
        </w:tc>
      </w:tr>
      <w:tr w:rsidR="006E6CE8" w:rsidRPr="00356E7A" w14:paraId="6E7ED5F5"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A3864B3"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Ústecký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07BEE49"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Chomutov</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D71366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124 347</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B408C4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1 723 037 135</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652FDA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13 857</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78D9B26D"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1 821</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529EF9B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243 642 451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7DF57C5"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15 677</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E36FC6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1 966 679 586</w:t>
            </w:r>
          </w:p>
        </w:tc>
      </w:tr>
      <w:tr w:rsidR="006E6CE8" w:rsidRPr="00356E7A" w14:paraId="0A0D6FD3"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2E31B95"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Olomoucký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DA5D51C"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Jeseník</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DED4C9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38 659</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39F35C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539 753 188</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DDE409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13 962</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42600CDC"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1 820</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79DA3C5E"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75 747 493</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44AEA4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15 782</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90B1ABD"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615 500 681</w:t>
            </w:r>
          </w:p>
        </w:tc>
      </w:tr>
      <w:tr w:rsidR="006E6CE8" w:rsidRPr="00356E7A" w14:paraId="1FB73283"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08796BE"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Karlovarský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CAECD7E"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Sokolov</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90E25C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88 795</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ECC1650"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1 195 896 580</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680DEC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13 468</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08EFE286"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1 825</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75D1DAC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173 982 737</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EC436E1"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15 293</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87A1CFF"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1 369 879 317</w:t>
            </w:r>
          </w:p>
        </w:tc>
      </w:tr>
      <w:tr w:rsidR="006E6CE8" w:rsidRPr="00356E7A" w14:paraId="1EC22EE0"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2199731"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color w:val="212529"/>
                <w:sz w:val="18"/>
                <w:szCs w:val="18"/>
                <w:lang w:eastAsia="cs-CZ"/>
              </w:rPr>
              <w:t>Ústecký kraj</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ACA1735" w14:textId="77777777" w:rsidR="00356E7A" w:rsidRPr="00DF5999" w:rsidRDefault="00C21B8A" w:rsidP="00356E7A">
            <w:pPr>
              <w:spacing w:after="0" w:line="240" w:lineRule="auto"/>
              <w:rPr>
                <w:rFonts w:eastAsia="Times New Roman" w:cstheme="minorHAnsi"/>
                <w:color w:val="212529"/>
                <w:sz w:val="18"/>
                <w:szCs w:val="18"/>
                <w:lang w:eastAsia="cs-CZ"/>
              </w:rPr>
            </w:pPr>
            <w:r>
              <w:rPr>
                <w:rFonts w:eastAsia="Times New Roman" w:cstheme="minorHAnsi"/>
                <w:color w:val="212529"/>
                <w:sz w:val="18"/>
                <w:szCs w:val="18"/>
                <w:lang w:eastAsia="cs-CZ"/>
              </w:rPr>
              <w:t>Teplice</w:t>
            </w: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5E90F0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86 372</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8F1E03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1 197 156 862</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233C78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13 860</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577AFB5B"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1 821</w:t>
            </w: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2409C66D"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169 235 171</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60DFA72"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15 681</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014DBFC2"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color w:val="212529"/>
                <w:sz w:val="18"/>
                <w:szCs w:val="18"/>
                <w:lang w:eastAsia="cs-CZ"/>
              </w:rPr>
              <w:t>1 366 392 033</w:t>
            </w:r>
          </w:p>
        </w:tc>
      </w:tr>
      <w:tr w:rsidR="006E6CE8" w:rsidRPr="00356E7A" w14:paraId="145ED2EB" w14:textId="77777777" w:rsidTr="006E6CE8">
        <w:tc>
          <w:tcPr>
            <w:tcW w:w="1463"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A8D0019" w14:textId="77777777" w:rsidR="00356E7A" w:rsidRPr="00DF5999" w:rsidRDefault="00356E7A" w:rsidP="00356E7A">
            <w:pPr>
              <w:spacing w:after="0" w:line="240" w:lineRule="auto"/>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Celkem</w:t>
            </w:r>
          </w:p>
        </w:tc>
        <w:tc>
          <w:tcPr>
            <w:tcW w:w="992"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E499151"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851"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758A488"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1 364 843</w:t>
            </w: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EACDE44"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22 161 522 659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8D7CB97"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16 237</w:t>
            </w:r>
          </w:p>
        </w:tc>
        <w:tc>
          <w:tcPr>
            <w:tcW w:w="709"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19AA477C"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134" w:type="dxa"/>
            <w:tcBorders>
              <w:top w:val="single" w:sz="6" w:space="0" w:color="8D8D8D"/>
              <w:left w:val="single" w:sz="6" w:space="0" w:color="8D8D8D"/>
              <w:bottom w:val="single" w:sz="6" w:space="0" w:color="8D8D8D"/>
              <w:right w:val="single" w:sz="6" w:space="0" w:color="8D8D8D"/>
            </w:tcBorders>
            <w:shd w:val="clear" w:color="auto" w:fill="EFF6E9"/>
            <w:tcMar>
              <w:top w:w="15" w:type="dxa"/>
              <w:left w:w="45" w:type="dxa"/>
              <w:bottom w:w="15" w:type="dxa"/>
              <w:right w:w="45" w:type="dxa"/>
            </w:tcMar>
            <w:vAlign w:val="center"/>
            <w:hideMark/>
          </w:tcPr>
          <w:p w14:paraId="34851B8A"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2 674 239 779</w:t>
            </w:r>
          </w:p>
        </w:tc>
        <w:tc>
          <w:tcPr>
            <w:tcW w:w="709"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17E5F83" w14:textId="77777777" w:rsidR="00356E7A" w:rsidRPr="00DF5999" w:rsidRDefault="00356E7A" w:rsidP="00356E7A">
            <w:pPr>
              <w:spacing w:after="0" w:line="240" w:lineRule="auto"/>
              <w:rPr>
                <w:rFonts w:eastAsia="Times New Roman" w:cstheme="minorHAnsi"/>
                <w:color w:val="212529"/>
                <w:sz w:val="18"/>
                <w:szCs w:val="18"/>
                <w:lang w:eastAsia="cs-CZ"/>
              </w:rPr>
            </w:pPr>
          </w:p>
        </w:tc>
        <w:tc>
          <w:tcPr>
            <w:tcW w:w="1275" w:type="dxa"/>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8231163" w14:textId="77777777" w:rsidR="00356E7A" w:rsidRPr="00DF5999" w:rsidRDefault="00356E7A" w:rsidP="00356E7A">
            <w:pPr>
              <w:spacing w:after="0" w:line="240" w:lineRule="auto"/>
              <w:jc w:val="right"/>
              <w:rPr>
                <w:rFonts w:eastAsia="Times New Roman" w:cstheme="minorHAnsi"/>
                <w:color w:val="212529"/>
                <w:sz w:val="18"/>
                <w:szCs w:val="18"/>
                <w:lang w:eastAsia="cs-CZ"/>
              </w:rPr>
            </w:pPr>
            <w:r w:rsidRPr="00DF5999">
              <w:rPr>
                <w:rFonts w:eastAsia="Times New Roman" w:cstheme="minorHAnsi"/>
                <w:b/>
                <w:bCs/>
                <w:color w:val="212529"/>
                <w:sz w:val="18"/>
                <w:szCs w:val="18"/>
                <w:lang w:eastAsia="cs-CZ"/>
              </w:rPr>
              <w:t>24 835 762 438</w:t>
            </w:r>
          </w:p>
        </w:tc>
      </w:tr>
    </w:tbl>
    <w:p w14:paraId="14CE2D95" w14:textId="77777777" w:rsidR="00356E7A" w:rsidRPr="00356E7A" w:rsidRDefault="00356E7A" w:rsidP="00356E7A">
      <w:pPr>
        <w:shd w:val="clear" w:color="auto" w:fill="FFFFFF"/>
        <w:spacing w:before="100" w:beforeAutospacing="1" w:after="100" w:afterAutospacing="1" w:line="240" w:lineRule="auto"/>
        <w:rPr>
          <w:rFonts w:ascii="Segoe UI" w:eastAsia="Times New Roman" w:hAnsi="Segoe UI" w:cs="Segoe UI"/>
          <w:color w:val="212529"/>
          <w:sz w:val="20"/>
          <w:szCs w:val="20"/>
          <w:lang w:eastAsia="cs-CZ"/>
        </w:rPr>
      </w:pPr>
      <w:r w:rsidRPr="00356E7A">
        <w:rPr>
          <w:rFonts w:ascii="Segoe UI" w:eastAsia="Times New Roman" w:hAnsi="Segoe UI" w:cs="Segoe UI"/>
          <w:color w:val="212529"/>
          <w:sz w:val="20"/>
          <w:szCs w:val="20"/>
          <w:lang w:eastAsia="cs-CZ"/>
        </w:rPr>
        <w:t xml:space="preserve">Pozn.: všechna </w:t>
      </w:r>
      <w:r w:rsidR="009800E3">
        <w:rPr>
          <w:rFonts w:ascii="Segoe UI" w:eastAsia="Times New Roman" w:hAnsi="Segoe UI" w:cs="Segoe UI"/>
          <w:color w:val="212529"/>
          <w:sz w:val="20"/>
          <w:szCs w:val="20"/>
          <w:lang w:eastAsia="cs-CZ"/>
        </w:rPr>
        <w:t>obce</w:t>
      </w:r>
      <w:r w:rsidRPr="00356E7A">
        <w:rPr>
          <w:rFonts w:ascii="Segoe UI" w:eastAsia="Times New Roman" w:hAnsi="Segoe UI" w:cs="Segoe UI"/>
          <w:color w:val="212529"/>
          <w:sz w:val="20"/>
          <w:szCs w:val="20"/>
          <w:lang w:eastAsia="cs-CZ"/>
        </w:rPr>
        <w:t xml:space="preserve"> snížení 1 %, čtyřem velkým snížení dalšího 1 %, přerozdělení takto sníženého RUD na 10 rizikových okresů a měst.</w:t>
      </w:r>
    </w:p>
    <w:p w14:paraId="44B7670C" w14:textId="77777777" w:rsidR="00356E7A" w:rsidRPr="00356E7A" w:rsidRDefault="00356E7A" w:rsidP="00356E7A">
      <w:pPr>
        <w:shd w:val="clear" w:color="auto" w:fill="FFFFFF"/>
        <w:spacing w:after="100" w:afterAutospacing="1" w:line="240" w:lineRule="auto"/>
        <w:rPr>
          <w:rFonts w:ascii="Segoe UI" w:eastAsia="Times New Roman" w:hAnsi="Segoe UI" w:cs="Segoe UI"/>
          <w:color w:val="212529"/>
          <w:sz w:val="24"/>
          <w:szCs w:val="24"/>
          <w:lang w:eastAsia="cs-CZ"/>
        </w:rPr>
      </w:pPr>
      <w:r w:rsidRPr="00356E7A">
        <w:rPr>
          <w:rFonts w:ascii="Segoe UI" w:eastAsia="Times New Roman" w:hAnsi="Segoe UI" w:cs="Segoe UI"/>
          <w:color w:val="212529"/>
          <w:sz w:val="24"/>
          <w:szCs w:val="24"/>
          <w:lang w:eastAsia="cs-CZ"/>
        </w:rPr>
        <w:t>V alternativě s využitím 1 % z přídělu krajům by došlo navýšení platby do vybraných rizikových sídel o dalších cca 500 Kč na jednoho obyvatele (další cca 4 %)</w:t>
      </w:r>
      <w:r w:rsidRPr="00356E7A">
        <w:rPr>
          <w:rFonts w:ascii="Segoe UI" w:eastAsia="Times New Roman" w:hAnsi="Segoe UI" w:cs="Segoe UI"/>
          <w:i/>
          <w:iCs/>
          <w:color w:val="212529"/>
          <w:sz w:val="24"/>
          <w:szCs w:val="24"/>
          <w:lang w:eastAsia="cs-CZ"/>
        </w:rPr>
        <w:t>.</w:t>
      </w:r>
    </w:p>
    <w:p w14:paraId="4AF920DC" w14:textId="77777777" w:rsidR="001B6DD4" w:rsidRDefault="00356E7A" w:rsidP="001B6DD4">
      <w:pPr>
        <w:shd w:val="clear" w:color="auto" w:fill="FFFFFF"/>
        <w:spacing w:after="100" w:afterAutospacing="1" w:line="240" w:lineRule="auto"/>
        <w:jc w:val="both"/>
        <w:rPr>
          <w:rFonts w:ascii="Segoe UI" w:eastAsia="Times New Roman" w:hAnsi="Segoe UI" w:cs="Segoe UI"/>
          <w:color w:val="212529"/>
          <w:sz w:val="24"/>
          <w:szCs w:val="24"/>
          <w:lang w:eastAsia="cs-CZ"/>
        </w:rPr>
      </w:pPr>
      <w:r w:rsidRPr="00356E7A">
        <w:rPr>
          <w:rFonts w:ascii="Segoe UI" w:eastAsia="Times New Roman" w:hAnsi="Segoe UI" w:cs="Segoe UI"/>
          <w:color w:val="212529"/>
          <w:sz w:val="24"/>
          <w:szCs w:val="24"/>
          <w:lang w:eastAsia="cs-CZ"/>
        </w:rPr>
        <w:lastRenderedPageBreak/>
        <w:t xml:space="preserve">Jako </w:t>
      </w:r>
      <w:r w:rsidR="003A0F35">
        <w:rPr>
          <w:rFonts w:ascii="Segoe UI" w:eastAsia="Times New Roman" w:hAnsi="Segoe UI" w:cs="Segoe UI"/>
          <w:color w:val="212529"/>
          <w:sz w:val="24"/>
          <w:szCs w:val="24"/>
          <w:lang w:eastAsia="cs-CZ"/>
        </w:rPr>
        <w:t xml:space="preserve">další </w:t>
      </w:r>
      <w:r w:rsidR="00482763">
        <w:rPr>
          <w:rFonts w:ascii="Segoe UI" w:eastAsia="Times New Roman" w:hAnsi="Segoe UI" w:cs="Segoe UI"/>
          <w:color w:val="212529"/>
          <w:sz w:val="24"/>
          <w:szCs w:val="24"/>
          <w:lang w:eastAsia="cs-CZ"/>
        </w:rPr>
        <w:t>možnou</w:t>
      </w:r>
      <w:r w:rsidRPr="00356E7A">
        <w:rPr>
          <w:rFonts w:ascii="Segoe UI" w:eastAsia="Times New Roman" w:hAnsi="Segoe UI" w:cs="Segoe UI"/>
          <w:color w:val="212529"/>
          <w:sz w:val="24"/>
          <w:szCs w:val="24"/>
          <w:lang w:eastAsia="cs-CZ"/>
        </w:rPr>
        <w:t xml:space="preserve"> </w:t>
      </w:r>
      <w:r w:rsidR="00482763">
        <w:rPr>
          <w:rFonts w:ascii="Segoe UI" w:eastAsia="Times New Roman" w:hAnsi="Segoe UI" w:cs="Segoe UI"/>
          <w:color w:val="212529"/>
          <w:sz w:val="24"/>
          <w:szCs w:val="24"/>
          <w:lang w:eastAsia="cs-CZ"/>
        </w:rPr>
        <w:t xml:space="preserve">alternativu </w:t>
      </w:r>
      <w:r w:rsidRPr="00356E7A">
        <w:rPr>
          <w:rFonts w:ascii="Segoe UI" w:eastAsia="Times New Roman" w:hAnsi="Segoe UI" w:cs="Segoe UI"/>
          <w:color w:val="212529"/>
          <w:sz w:val="24"/>
          <w:szCs w:val="24"/>
          <w:lang w:eastAsia="cs-CZ"/>
        </w:rPr>
        <w:t xml:space="preserve">přerozdělení získaných prostředků </w:t>
      </w:r>
      <w:r w:rsidR="009800E3">
        <w:rPr>
          <w:rFonts w:ascii="Segoe UI" w:eastAsia="Times New Roman" w:hAnsi="Segoe UI" w:cs="Segoe UI"/>
          <w:color w:val="212529"/>
          <w:sz w:val="24"/>
          <w:szCs w:val="24"/>
          <w:lang w:eastAsia="cs-CZ"/>
        </w:rPr>
        <w:t xml:space="preserve">navrhli karvinští </w:t>
      </w:r>
      <w:r w:rsidRPr="00356E7A">
        <w:rPr>
          <w:rFonts w:ascii="Segoe UI" w:eastAsia="Times New Roman" w:hAnsi="Segoe UI" w:cs="Segoe UI"/>
          <w:color w:val="212529"/>
          <w:sz w:val="24"/>
          <w:szCs w:val="24"/>
          <w:lang w:eastAsia="cs-CZ"/>
        </w:rPr>
        <w:t>aplikac</w:t>
      </w:r>
      <w:r w:rsidR="009800E3">
        <w:rPr>
          <w:rFonts w:ascii="Segoe UI" w:eastAsia="Times New Roman" w:hAnsi="Segoe UI" w:cs="Segoe UI"/>
          <w:color w:val="212529"/>
          <w:sz w:val="24"/>
          <w:szCs w:val="24"/>
          <w:lang w:eastAsia="cs-CZ"/>
        </w:rPr>
        <w:t>i</w:t>
      </w:r>
      <w:r w:rsidRPr="00356E7A">
        <w:rPr>
          <w:rFonts w:ascii="Segoe UI" w:eastAsia="Times New Roman" w:hAnsi="Segoe UI" w:cs="Segoe UI"/>
          <w:color w:val="212529"/>
          <w:sz w:val="24"/>
          <w:szCs w:val="24"/>
          <w:lang w:eastAsia="cs-CZ"/>
        </w:rPr>
        <w:t xml:space="preserve"> stanoveného nového přepočítávacího koeficientu,</w:t>
      </w:r>
      <w:r w:rsidR="009800E3">
        <w:rPr>
          <w:rFonts w:ascii="Segoe UI" w:eastAsia="Times New Roman" w:hAnsi="Segoe UI" w:cs="Segoe UI"/>
          <w:color w:val="212529"/>
          <w:sz w:val="24"/>
          <w:szCs w:val="24"/>
          <w:lang w:eastAsia="cs-CZ"/>
        </w:rPr>
        <w:t xml:space="preserve"> který je určen v příloze č. 3 z</w:t>
      </w:r>
      <w:r w:rsidRPr="00356E7A">
        <w:rPr>
          <w:rFonts w:ascii="Segoe UI" w:eastAsia="Times New Roman" w:hAnsi="Segoe UI" w:cs="Segoe UI"/>
          <w:color w:val="212529"/>
          <w:sz w:val="24"/>
          <w:szCs w:val="24"/>
          <w:lang w:eastAsia="cs-CZ"/>
        </w:rPr>
        <w:t>ákona č. 243/2000 Sb.</w:t>
      </w:r>
      <w:r w:rsidR="001B6DD4">
        <w:rPr>
          <w:rFonts w:ascii="Segoe UI" w:eastAsia="Times New Roman" w:hAnsi="Segoe UI" w:cs="Segoe UI"/>
          <w:color w:val="212529"/>
          <w:sz w:val="24"/>
          <w:szCs w:val="24"/>
          <w:lang w:eastAsia="cs-CZ"/>
        </w:rPr>
        <w:t xml:space="preserve"> s tím, že by platil pro vybrané postižené okresy a obce v</w:t>
      </w:r>
      <w:r w:rsidR="00482763">
        <w:rPr>
          <w:rFonts w:ascii="Segoe UI" w:eastAsia="Times New Roman" w:hAnsi="Segoe UI" w:cs="Segoe UI"/>
          <w:color w:val="212529"/>
          <w:sz w:val="24"/>
          <w:szCs w:val="24"/>
          <w:lang w:eastAsia="cs-CZ"/>
        </w:rPr>
        <w:t> </w:t>
      </w:r>
      <w:r w:rsidR="001B6DD4">
        <w:rPr>
          <w:rFonts w:ascii="Segoe UI" w:eastAsia="Times New Roman" w:hAnsi="Segoe UI" w:cs="Segoe UI"/>
          <w:color w:val="212529"/>
          <w:sz w:val="24"/>
          <w:szCs w:val="24"/>
          <w:lang w:eastAsia="cs-CZ"/>
        </w:rPr>
        <w:t>nich</w:t>
      </w:r>
      <w:r w:rsidR="00482763">
        <w:rPr>
          <w:rFonts w:ascii="Segoe UI" w:eastAsia="Times New Roman" w:hAnsi="Segoe UI" w:cs="Segoe UI"/>
          <w:color w:val="212529"/>
          <w:sz w:val="24"/>
          <w:szCs w:val="24"/>
          <w:lang w:eastAsia="cs-CZ"/>
        </w:rPr>
        <w:t>:</w:t>
      </w:r>
      <w:r w:rsidRPr="00356E7A">
        <w:rPr>
          <w:rFonts w:ascii="Segoe UI" w:eastAsia="Times New Roman" w:hAnsi="Segoe UI" w:cs="Segoe UI"/>
          <w:color w:val="212529"/>
          <w:sz w:val="24"/>
          <w:szCs w:val="24"/>
          <w:lang w:eastAsia="cs-CZ"/>
        </w:rPr>
        <w:t xml:space="preserve"> </w:t>
      </w:r>
    </w:p>
    <w:p w14:paraId="526E682B" w14:textId="77777777" w:rsidR="001B6DD4" w:rsidRDefault="001B6DD4" w:rsidP="001B6DD4">
      <w:pPr>
        <w:shd w:val="clear" w:color="auto" w:fill="FFFFFF"/>
        <w:spacing w:after="100" w:afterAutospacing="1" w:line="240" w:lineRule="auto"/>
        <w:jc w:val="both"/>
        <w:rPr>
          <w:rFonts w:ascii="Segoe UI" w:eastAsia="Times New Roman" w:hAnsi="Segoe UI" w:cs="Segoe UI"/>
          <w:color w:val="212529"/>
          <w:sz w:val="24"/>
          <w:szCs w:val="24"/>
          <w:lang w:eastAsia="cs-CZ"/>
        </w:rPr>
      </w:pPr>
    </w:p>
    <w:p w14:paraId="709F2810" w14:textId="77777777" w:rsidR="0028141B" w:rsidRPr="00356E7A" w:rsidRDefault="0028141B" w:rsidP="0028141B">
      <w:pPr>
        <w:shd w:val="clear" w:color="auto" w:fill="FFFFFF"/>
        <w:spacing w:after="100" w:afterAutospacing="1" w:line="240" w:lineRule="auto"/>
        <w:jc w:val="both"/>
        <w:rPr>
          <w:rFonts w:ascii="Segoe UI" w:eastAsia="Times New Roman" w:hAnsi="Segoe UI" w:cs="Segoe UI"/>
          <w:color w:val="212529"/>
          <w:sz w:val="24"/>
          <w:szCs w:val="24"/>
          <w:lang w:eastAsia="cs-CZ"/>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36"/>
        <w:gridCol w:w="2333"/>
      </w:tblGrid>
      <w:tr w:rsidR="00356E7A" w:rsidRPr="0028141B" w14:paraId="6DBBD489" w14:textId="77777777" w:rsidTr="00356E7A">
        <w:trPr>
          <w:tblHeader/>
        </w:trPr>
        <w:tc>
          <w:tcPr>
            <w:tcW w:w="0" w:type="auto"/>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24D0E3FA" w14:textId="77777777" w:rsidR="00356E7A" w:rsidRPr="0028141B" w:rsidRDefault="00356E7A" w:rsidP="00356E7A">
            <w:pPr>
              <w:spacing w:after="0" w:line="240" w:lineRule="auto"/>
              <w:jc w:val="center"/>
              <w:rPr>
                <w:rFonts w:ascii="Segoe UI" w:eastAsia="Times New Roman" w:hAnsi="Segoe UI" w:cs="Segoe UI"/>
                <w:b/>
                <w:bCs/>
                <w:color w:val="212529"/>
                <w:szCs w:val="24"/>
                <w:lang w:eastAsia="cs-CZ"/>
              </w:rPr>
            </w:pPr>
            <w:r w:rsidRPr="0028141B">
              <w:rPr>
                <w:rFonts w:ascii="Segoe UI" w:eastAsia="Times New Roman" w:hAnsi="Segoe UI" w:cs="Segoe UI"/>
                <w:b/>
                <w:bCs/>
                <w:color w:val="212529"/>
                <w:szCs w:val="24"/>
                <w:lang w:eastAsia="cs-CZ"/>
              </w:rPr>
              <w:t>Obec</w:t>
            </w:r>
          </w:p>
        </w:tc>
        <w:tc>
          <w:tcPr>
            <w:tcW w:w="0" w:type="auto"/>
            <w:tcBorders>
              <w:top w:val="single" w:sz="6" w:space="0" w:color="8D8D8D"/>
              <w:left w:val="single" w:sz="6" w:space="0" w:color="8D8D8D"/>
              <w:bottom w:val="single" w:sz="6" w:space="0" w:color="8D8D8D"/>
              <w:right w:val="single" w:sz="6" w:space="0" w:color="8D8D8D"/>
            </w:tcBorders>
            <w:shd w:val="clear" w:color="auto" w:fill="D7D7D7"/>
            <w:tcMar>
              <w:top w:w="15" w:type="dxa"/>
              <w:left w:w="45" w:type="dxa"/>
              <w:bottom w:w="15" w:type="dxa"/>
              <w:right w:w="45" w:type="dxa"/>
            </w:tcMar>
            <w:vAlign w:val="center"/>
            <w:hideMark/>
          </w:tcPr>
          <w:p w14:paraId="7CC6B287" w14:textId="77777777" w:rsidR="00356E7A" w:rsidRPr="0028141B" w:rsidRDefault="00356E7A" w:rsidP="00356E7A">
            <w:pPr>
              <w:spacing w:after="0" w:line="240" w:lineRule="auto"/>
              <w:jc w:val="center"/>
              <w:rPr>
                <w:rFonts w:ascii="Segoe UI" w:eastAsia="Times New Roman" w:hAnsi="Segoe UI" w:cs="Segoe UI"/>
                <w:b/>
                <w:bCs/>
                <w:color w:val="212529"/>
                <w:szCs w:val="24"/>
                <w:lang w:eastAsia="cs-CZ"/>
              </w:rPr>
            </w:pPr>
            <w:r w:rsidRPr="0028141B">
              <w:rPr>
                <w:rFonts w:ascii="Segoe UI" w:eastAsia="Times New Roman" w:hAnsi="Segoe UI" w:cs="Segoe UI"/>
                <w:b/>
                <w:bCs/>
                <w:color w:val="212529"/>
                <w:szCs w:val="24"/>
                <w:lang w:eastAsia="cs-CZ"/>
              </w:rPr>
              <w:t>Přepočítací koeficient</w:t>
            </w:r>
          </w:p>
        </w:tc>
      </w:tr>
      <w:tr w:rsidR="00356E7A" w:rsidRPr="0028141B" w14:paraId="4D67F07C"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9D57066" w14:textId="77777777" w:rsidR="00356E7A" w:rsidRPr="0028141B" w:rsidRDefault="00356E7A" w:rsidP="00356E7A">
            <w:pPr>
              <w:spacing w:after="0" w:line="240" w:lineRule="auto"/>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Praha</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6C45D0CB" w14:textId="77777777" w:rsidR="00356E7A" w:rsidRPr="0028141B" w:rsidRDefault="00356E7A" w:rsidP="00356E7A">
            <w:pPr>
              <w:spacing w:after="0" w:line="240" w:lineRule="auto"/>
              <w:jc w:val="right"/>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4,0641</w:t>
            </w:r>
          </w:p>
        </w:tc>
      </w:tr>
      <w:tr w:rsidR="00356E7A" w:rsidRPr="0028141B" w14:paraId="0744E41C"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7819EE3" w14:textId="77777777" w:rsidR="00356E7A" w:rsidRPr="0028141B" w:rsidRDefault="00356E7A" w:rsidP="00356E7A">
            <w:pPr>
              <w:spacing w:after="0" w:line="240" w:lineRule="auto"/>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Brno</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32B93C23" w14:textId="77777777" w:rsidR="00356E7A" w:rsidRPr="0028141B" w:rsidRDefault="00356E7A" w:rsidP="00356E7A">
            <w:pPr>
              <w:spacing w:after="0" w:line="240" w:lineRule="auto"/>
              <w:jc w:val="right"/>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2,2961</w:t>
            </w:r>
          </w:p>
        </w:tc>
      </w:tr>
      <w:tr w:rsidR="00356E7A" w:rsidRPr="0028141B" w14:paraId="4254C13B"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8EFAE08" w14:textId="77777777" w:rsidR="00356E7A" w:rsidRPr="0028141B" w:rsidRDefault="00356E7A" w:rsidP="00356E7A">
            <w:pPr>
              <w:spacing w:after="0" w:line="240" w:lineRule="auto"/>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Ostrava</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1DF45B06" w14:textId="77777777" w:rsidR="00356E7A" w:rsidRPr="0028141B" w:rsidRDefault="00356E7A" w:rsidP="00356E7A">
            <w:pPr>
              <w:spacing w:after="0" w:line="240" w:lineRule="auto"/>
              <w:jc w:val="right"/>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2,2961</w:t>
            </w:r>
          </w:p>
        </w:tc>
      </w:tr>
      <w:tr w:rsidR="00356E7A" w:rsidRPr="0028141B" w14:paraId="61D68963"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4885DC49" w14:textId="77777777" w:rsidR="00356E7A" w:rsidRPr="0028141B" w:rsidRDefault="00356E7A" w:rsidP="00356E7A">
            <w:pPr>
              <w:spacing w:after="0" w:line="240" w:lineRule="auto"/>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Plzeň</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260ACEB" w14:textId="77777777" w:rsidR="00356E7A" w:rsidRPr="0028141B" w:rsidRDefault="00356E7A" w:rsidP="00356E7A">
            <w:pPr>
              <w:spacing w:after="0" w:line="240" w:lineRule="auto"/>
              <w:jc w:val="right"/>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2,2961</w:t>
            </w:r>
          </w:p>
        </w:tc>
      </w:tr>
      <w:tr w:rsidR="00356E7A" w:rsidRPr="0028141B" w14:paraId="20FE3377"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E6188E2" w14:textId="77777777" w:rsidR="00356E7A" w:rsidRPr="0028141B" w:rsidRDefault="00356E7A" w:rsidP="00356E7A">
            <w:pPr>
              <w:spacing w:after="0" w:line="240" w:lineRule="auto"/>
              <w:rPr>
                <w:rFonts w:ascii="Segoe UI" w:eastAsia="Times New Roman" w:hAnsi="Segoe UI" w:cs="Segoe UI"/>
                <w:b/>
                <w:bCs/>
                <w:color w:val="212529"/>
                <w:szCs w:val="24"/>
                <w:lang w:eastAsia="cs-CZ"/>
              </w:rPr>
            </w:pPr>
            <w:r w:rsidRPr="0028141B">
              <w:rPr>
                <w:rFonts w:ascii="Segoe UI" w:eastAsia="Times New Roman" w:hAnsi="Segoe UI" w:cs="Segoe UI"/>
                <w:b/>
                <w:bCs/>
                <w:color w:val="212529"/>
                <w:szCs w:val="24"/>
                <w:lang w:eastAsia="cs-CZ"/>
              </w:rPr>
              <w:t>Obce s vyrovnávacím příspěvkem</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7ECD31D8" w14:textId="77777777" w:rsidR="00356E7A" w:rsidRPr="0028141B" w:rsidRDefault="00356E7A" w:rsidP="003A0F35">
            <w:pPr>
              <w:spacing w:after="0" w:line="240" w:lineRule="auto"/>
              <w:jc w:val="right"/>
              <w:rPr>
                <w:rFonts w:ascii="Segoe UI" w:eastAsia="Times New Roman" w:hAnsi="Segoe UI" w:cs="Segoe UI"/>
                <w:b/>
                <w:bCs/>
                <w:color w:val="212529"/>
                <w:szCs w:val="24"/>
                <w:lang w:eastAsia="cs-CZ"/>
              </w:rPr>
            </w:pPr>
            <w:r w:rsidRPr="0028141B">
              <w:rPr>
                <w:rFonts w:ascii="Segoe UI" w:eastAsia="Times New Roman" w:hAnsi="Segoe UI" w:cs="Segoe UI"/>
                <w:b/>
                <w:bCs/>
                <w:color w:val="212529"/>
                <w:szCs w:val="24"/>
                <w:lang w:eastAsia="cs-CZ"/>
              </w:rPr>
              <w:t>1,2000</w:t>
            </w:r>
          </w:p>
        </w:tc>
      </w:tr>
      <w:tr w:rsidR="00356E7A" w:rsidRPr="0028141B" w14:paraId="614D74F0" w14:textId="77777777" w:rsidTr="00356E7A">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530929C8" w14:textId="77777777" w:rsidR="00356E7A" w:rsidRPr="0028141B" w:rsidRDefault="00356E7A" w:rsidP="00356E7A">
            <w:pPr>
              <w:spacing w:after="0" w:line="240" w:lineRule="auto"/>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Ostatní obce</w:t>
            </w:r>
          </w:p>
        </w:tc>
        <w:tc>
          <w:tcPr>
            <w:tcW w:w="0" w:type="auto"/>
            <w:tcBorders>
              <w:top w:val="single" w:sz="6" w:space="0" w:color="8D8D8D"/>
              <w:left w:val="single" w:sz="6" w:space="0" w:color="8D8D8D"/>
              <w:bottom w:val="single" w:sz="6" w:space="0" w:color="8D8D8D"/>
              <w:right w:val="single" w:sz="6" w:space="0" w:color="8D8D8D"/>
            </w:tcBorders>
            <w:shd w:val="clear" w:color="auto" w:fill="FFFFFF"/>
            <w:tcMar>
              <w:top w:w="15" w:type="dxa"/>
              <w:left w:w="45" w:type="dxa"/>
              <w:bottom w:w="15" w:type="dxa"/>
              <w:right w:w="45" w:type="dxa"/>
            </w:tcMar>
            <w:vAlign w:val="center"/>
            <w:hideMark/>
          </w:tcPr>
          <w:p w14:paraId="2194B76C" w14:textId="77777777" w:rsidR="00356E7A" w:rsidRPr="0028141B" w:rsidRDefault="00356E7A" w:rsidP="00356E7A">
            <w:pPr>
              <w:spacing w:after="0" w:line="240" w:lineRule="auto"/>
              <w:jc w:val="right"/>
              <w:rPr>
                <w:rFonts w:ascii="Segoe UI" w:eastAsia="Times New Roman" w:hAnsi="Segoe UI" w:cs="Segoe UI"/>
                <w:color w:val="212529"/>
                <w:szCs w:val="24"/>
                <w:lang w:eastAsia="cs-CZ"/>
              </w:rPr>
            </w:pPr>
            <w:r w:rsidRPr="0028141B">
              <w:rPr>
                <w:rFonts w:ascii="Segoe UI" w:eastAsia="Times New Roman" w:hAnsi="Segoe UI" w:cs="Segoe UI"/>
                <w:color w:val="212529"/>
                <w:szCs w:val="24"/>
                <w:lang w:eastAsia="cs-CZ"/>
              </w:rPr>
              <w:t>1,0000</w:t>
            </w:r>
          </w:p>
        </w:tc>
      </w:tr>
    </w:tbl>
    <w:p w14:paraId="738BF8B2" w14:textId="77777777" w:rsidR="00356E7A" w:rsidRPr="00356E7A" w:rsidRDefault="00356E7A" w:rsidP="00CD7C03">
      <w:pPr>
        <w:shd w:val="clear" w:color="auto" w:fill="FFFFFF"/>
        <w:spacing w:after="100" w:afterAutospacing="1" w:line="240" w:lineRule="auto"/>
        <w:jc w:val="both"/>
        <w:rPr>
          <w:rFonts w:ascii="Segoe UI" w:eastAsia="Times New Roman" w:hAnsi="Segoe UI" w:cs="Segoe UI"/>
          <w:color w:val="212529"/>
          <w:sz w:val="24"/>
          <w:szCs w:val="24"/>
          <w:lang w:eastAsia="cs-CZ"/>
        </w:rPr>
      </w:pPr>
      <w:r w:rsidRPr="00356E7A">
        <w:rPr>
          <w:rFonts w:ascii="Segoe UI" w:eastAsia="Times New Roman" w:hAnsi="Segoe UI" w:cs="Segoe UI"/>
          <w:color w:val="212529"/>
          <w:sz w:val="24"/>
          <w:szCs w:val="24"/>
          <w:lang w:eastAsia="cs-CZ"/>
        </w:rPr>
        <w:t xml:space="preserve">Přímý příspěvek do rozpočtu by obcím napomáhal efektivně řešit obtížné sociální a jiné patologické jevy. Obce i města by mohly financovat ty aktivity, které nyní zvýšeně zatěžují jejich rozpočty – městské policie, sociální služby, výkon sociální práce nedofinancované státem, kamerové systémy, řešení zvýšené míry exekucí, pohledávek, přestupkové činnosti, ekologické zátěže, černé skládky aj. Uvedené aktivity jsou dnes financovány bez zohlednění této zvýšené zátěže ve zmíněných regionech s použitím principu „všem stejně“ (používané koeficienty postupných přechodů problém neřeší). </w:t>
      </w:r>
    </w:p>
    <w:p w14:paraId="5BD0B8E0" w14:textId="77777777" w:rsidR="00C704FE" w:rsidRPr="00C704FE" w:rsidRDefault="00C704FE" w:rsidP="003A0F35">
      <w:pPr>
        <w:shd w:val="clear" w:color="auto" w:fill="FFFFFF"/>
        <w:spacing w:after="100" w:afterAutospacing="1" w:line="240" w:lineRule="auto"/>
        <w:jc w:val="both"/>
        <w:rPr>
          <w:rFonts w:ascii="Segoe UI" w:eastAsia="Times New Roman" w:hAnsi="Segoe UI" w:cs="Segoe UI"/>
          <w:color w:val="212529"/>
          <w:sz w:val="24"/>
          <w:szCs w:val="24"/>
          <w:lang w:eastAsia="cs-CZ"/>
        </w:rPr>
      </w:pPr>
      <w:r w:rsidRPr="00C704FE">
        <w:rPr>
          <w:rFonts w:ascii="Segoe UI" w:eastAsia="Times New Roman" w:hAnsi="Segoe UI" w:cs="Segoe UI"/>
          <w:color w:val="212529"/>
          <w:sz w:val="24"/>
          <w:szCs w:val="24"/>
          <w:lang w:eastAsia="cs-CZ"/>
        </w:rPr>
        <w:t>Z</w:t>
      </w:r>
      <w:r w:rsidR="003A0F35">
        <w:rPr>
          <w:rFonts w:ascii="Segoe UI" w:eastAsia="Times New Roman" w:hAnsi="Segoe UI" w:cs="Segoe UI"/>
          <w:color w:val="212529"/>
          <w:sz w:val="24"/>
          <w:szCs w:val="24"/>
          <w:lang w:eastAsia="cs-CZ"/>
        </w:rPr>
        <w:t xml:space="preserve">a nadále neudržitelný považuje karvinská iniciativa </w:t>
      </w:r>
      <w:r w:rsidRPr="00C704FE">
        <w:rPr>
          <w:rFonts w:ascii="Segoe UI" w:eastAsia="Times New Roman" w:hAnsi="Segoe UI" w:cs="Segoe UI"/>
          <w:color w:val="212529"/>
          <w:sz w:val="24"/>
          <w:szCs w:val="24"/>
          <w:lang w:eastAsia="cs-CZ"/>
        </w:rPr>
        <w:t xml:space="preserve"> systematické zvýhodnění Prahy a tří velkých měst, pokud jde o výnos daní v přepočtu na jednoho obyvatele: Praha 41 922 Kč, Brno 25 409 Kč, Ostrava 25 302 Kč a Plzeň 25 410 Kč na obyvatele. Přitom například okresní města rizikových okresů mají daňový výnos na obyvatele několikanásobně menší – např. Karviná 13 943 Kč, Most 14 250 Kč a Bruntál 13 751 Kč na obyvatele. </w:t>
      </w:r>
    </w:p>
    <w:p w14:paraId="71515F16" w14:textId="77777777" w:rsidR="00C704FE" w:rsidRPr="00C704FE" w:rsidRDefault="00C704FE" w:rsidP="009576DB">
      <w:pPr>
        <w:shd w:val="clear" w:color="auto" w:fill="FFFFFF"/>
        <w:spacing w:after="100" w:afterAutospacing="1" w:line="240" w:lineRule="auto"/>
        <w:jc w:val="both"/>
        <w:rPr>
          <w:rFonts w:ascii="Segoe UI" w:eastAsia="Times New Roman" w:hAnsi="Segoe UI" w:cs="Segoe UI"/>
          <w:color w:val="212529"/>
          <w:sz w:val="24"/>
          <w:szCs w:val="24"/>
          <w:lang w:eastAsia="cs-CZ"/>
        </w:rPr>
      </w:pPr>
      <w:r w:rsidRPr="00C704FE">
        <w:rPr>
          <w:rFonts w:ascii="Segoe UI" w:eastAsia="Times New Roman" w:hAnsi="Segoe UI" w:cs="Segoe UI"/>
          <w:color w:val="212529"/>
          <w:sz w:val="24"/>
          <w:szCs w:val="24"/>
          <w:lang w:eastAsia="cs-CZ"/>
        </w:rPr>
        <w:t xml:space="preserve">Tento návrh </w:t>
      </w:r>
      <w:r w:rsidR="009576DB">
        <w:rPr>
          <w:rFonts w:ascii="Segoe UI" w:eastAsia="Times New Roman" w:hAnsi="Segoe UI" w:cs="Segoe UI"/>
          <w:color w:val="212529"/>
          <w:sz w:val="24"/>
          <w:szCs w:val="24"/>
          <w:lang w:eastAsia="cs-CZ"/>
        </w:rPr>
        <w:t xml:space="preserve">z Karviné </w:t>
      </w:r>
      <w:r w:rsidRPr="00C704FE">
        <w:rPr>
          <w:rFonts w:ascii="Segoe UI" w:eastAsia="Times New Roman" w:hAnsi="Segoe UI" w:cs="Segoe UI"/>
          <w:color w:val="212529"/>
          <w:sz w:val="24"/>
          <w:szCs w:val="24"/>
          <w:lang w:eastAsia="cs-CZ"/>
        </w:rPr>
        <w:t>nemá ambici řešit problém všech obcí s různými typy a druhy problémů, zejména ne všech obcí s vyloučenými lokalitami, problém se ale dá systémově řešit doplněním do výčtu obcí s případným navrženým koeficientem.</w:t>
      </w:r>
    </w:p>
    <w:p w14:paraId="59B9B68B" w14:textId="77777777" w:rsidR="00356E7A" w:rsidRPr="00EF339B" w:rsidRDefault="009576DB" w:rsidP="003A0F35">
      <w:pPr>
        <w:autoSpaceDE w:val="0"/>
        <w:autoSpaceDN w:val="0"/>
        <w:adjustRightInd w:val="0"/>
        <w:spacing w:after="0" w:line="240" w:lineRule="auto"/>
        <w:jc w:val="both"/>
        <w:rPr>
          <w:rFonts w:cstheme="minorHAnsi"/>
          <w:color w:val="212529"/>
          <w:sz w:val="32"/>
          <w:shd w:val="clear" w:color="auto" w:fill="FFFFFF"/>
        </w:rPr>
      </w:pPr>
      <w:r w:rsidRPr="00EF339B">
        <w:rPr>
          <w:rFonts w:cstheme="minorHAnsi"/>
          <w:color w:val="212529"/>
          <w:sz w:val="32"/>
          <w:shd w:val="clear" w:color="auto" w:fill="FFFFFF"/>
        </w:rPr>
        <w:t xml:space="preserve">Politicky těžko řešitelný problém </w:t>
      </w:r>
    </w:p>
    <w:p w14:paraId="449CCD89" w14:textId="77777777" w:rsidR="00356E7A" w:rsidRDefault="00EF339B" w:rsidP="003A0F35">
      <w:pPr>
        <w:autoSpaceDE w:val="0"/>
        <w:autoSpaceDN w:val="0"/>
        <w:adjustRightInd w:val="0"/>
        <w:spacing w:after="0" w:line="240" w:lineRule="auto"/>
        <w:jc w:val="both"/>
        <w:rPr>
          <w:rFonts w:ascii="Segoe UI" w:hAnsi="Segoe UI" w:cs="Segoe UI"/>
          <w:color w:val="212529"/>
          <w:shd w:val="clear" w:color="auto" w:fill="FFFFFF"/>
        </w:rPr>
      </w:pPr>
      <w:r>
        <w:rPr>
          <w:rFonts w:ascii="Segoe UI" w:hAnsi="Segoe UI" w:cs="Segoe UI"/>
          <w:color w:val="212529"/>
          <w:shd w:val="clear" w:color="auto" w:fill="FFFFFF"/>
        </w:rPr>
        <w:t>Změna zákona o RUD je těžko řešitelným problémem pro politickou reprezentaci, t.j pro schválení ve sněmovně a senátu parlamentu. Proto podobně jako při sporech  o řešení obdobné problematiky v</w:t>
      </w:r>
      <w:r w:rsidR="0028141B">
        <w:rPr>
          <w:rFonts w:ascii="Segoe UI" w:hAnsi="Segoe UI" w:cs="Segoe UI"/>
          <w:color w:val="212529"/>
          <w:shd w:val="clear" w:color="auto" w:fill="FFFFFF"/>
        </w:rPr>
        <w:t> </w:t>
      </w:r>
      <w:r>
        <w:rPr>
          <w:rFonts w:ascii="Segoe UI" w:hAnsi="Segoe UI" w:cs="Segoe UI"/>
          <w:color w:val="212529"/>
          <w:shd w:val="clear" w:color="auto" w:fill="FFFFFF"/>
        </w:rPr>
        <w:t>zahraničí</w:t>
      </w:r>
      <w:r w:rsidR="0028141B">
        <w:rPr>
          <w:rFonts w:ascii="Segoe UI" w:hAnsi="Segoe UI" w:cs="Segoe UI"/>
          <w:color w:val="212529"/>
          <w:shd w:val="clear" w:color="auto" w:fill="FFFFFF"/>
        </w:rPr>
        <w:t>, kde</w:t>
      </w:r>
      <w:r>
        <w:rPr>
          <w:rFonts w:ascii="Segoe UI" w:hAnsi="Segoe UI" w:cs="Segoe UI"/>
          <w:color w:val="212529"/>
          <w:shd w:val="clear" w:color="auto" w:fill="FFFFFF"/>
        </w:rPr>
        <w:t xml:space="preserve"> je často osloven </w:t>
      </w:r>
      <w:r w:rsidR="00162D16">
        <w:rPr>
          <w:rFonts w:ascii="Segoe UI" w:hAnsi="Segoe UI" w:cs="Segoe UI"/>
          <w:color w:val="212529"/>
          <w:shd w:val="clear" w:color="auto" w:fill="FFFFFF"/>
        </w:rPr>
        <w:t xml:space="preserve">ústavní soud, byly </w:t>
      </w:r>
      <w:r w:rsidR="00B85C45">
        <w:rPr>
          <w:rFonts w:ascii="Segoe UI" w:hAnsi="Segoe UI" w:cs="Segoe UI"/>
          <w:color w:val="212529"/>
          <w:shd w:val="clear" w:color="auto" w:fill="FFFFFF"/>
        </w:rPr>
        <w:t xml:space="preserve">i u nás </w:t>
      </w:r>
      <w:r w:rsidR="00162D16">
        <w:rPr>
          <w:rFonts w:ascii="Segoe UI" w:hAnsi="Segoe UI" w:cs="Segoe UI"/>
          <w:color w:val="212529"/>
          <w:shd w:val="clear" w:color="auto" w:fill="FFFFFF"/>
        </w:rPr>
        <w:t xml:space="preserve">podniknuty kroky v tomto směru. </w:t>
      </w:r>
      <w:r>
        <w:rPr>
          <w:rFonts w:ascii="Segoe UI" w:hAnsi="Segoe UI" w:cs="Segoe UI"/>
          <w:color w:val="212529"/>
          <w:shd w:val="clear" w:color="auto" w:fill="FFFFFF"/>
        </w:rPr>
        <w:t xml:space="preserve">O tuto </w:t>
      </w:r>
      <w:r w:rsidR="00162D16">
        <w:rPr>
          <w:rFonts w:ascii="Segoe UI" w:hAnsi="Segoe UI" w:cs="Segoe UI"/>
          <w:color w:val="212529"/>
          <w:shd w:val="clear" w:color="auto" w:fill="FFFFFF"/>
        </w:rPr>
        <w:t xml:space="preserve">citlivou </w:t>
      </w:r>
      <w:r>
        <w:rPr>
          <w:rFonts w:ascii="Segoe UI" w:hAnsi="Segoe UI" w:cs="Segoe UI"/>
          <w:color w:val="212529"/>
          <w:shd w:val="clear" w:color="auto" w:fill="FFFFFF"/>
        </w:rPr>
        <w:t>proble</w:t>
      </w:r>
      <w:r w:rsidR="00162D16">
        <w:rPr>
          <w:rFonts w:ascii="Segoe UI" w:hAnsi="Segoe UI" w:cs="Segoe UI"/>
          <w:color w:val="212529"/>
          <w:shd w:val="clear" w:color="auto" w:fill="FFFFFF"/>
        </w:rPr>
        <w:t xml:space="preserve">matiku projevil několikrát zájem prezident republiky Petr Pavel. Pro podání ústavní stížnosti panují složitá pravidla vyžadující souhlasy značného </w:t>
      </w:r>
      <w:r w:rsidR="003E0003">
        <w:rPr>
          <w:rFonts w:ascii="Segoe UI" w:hAnsi="Segoe UI" w:cs="Segoe UI"/>
          <w:color w:val="212529"/>
          <w:shd w:val="clear" w:color="auto" w:fill="FFFFFF"/>
        </w:rPr>
        <w:t xml:space="preserve">množství buď senátorů, nebo poslanců, </w:t>
      </w:r>
      <w:r w:rsidR="0028141B">
        <w:rPr>
          <w:rFonts w:ascii="Segoe UI" w:hAnsi="Segoe UI" w:cs="Segoe UI"/>
          <w:color w:val="212529"/>
          <w:shd w:val="clear" w:color="auto" w:fill="FFFFFF"/>
        </w:rPr>
        <w:t xml:space="preserve">kde je problém nalézt konsenzus, </w:t>
      </w:r>
      <w:r w:rsidR="003E0003">
        <w:rPr>
          <w:rFonts w:ascii="Segoe UI" w:hAnsi="Segoe UI" w:cs="Segoe UI"/>
          <w:color w:val="212529"/>
          <w:shd w:val="clear" w:color="auto" w:fill="FFFFFF"/>
        </w:rPr>
        <w:t xml:space="preserve">výjimku </w:t>
      </w:r>
      <w:r w:rsidR="0028141B">
        <w:rPr>
          <w:rFonts w:ascii="Segoe UI" w:hAnsi="Segoe UI" w:cs="Segoe UI"/>
          <w:color w:val="212529"/>
          <w:shd w:val="clear" w:color="auto" w:fill="FFFFFF"/>
        </w:rPr>
        <w:t xml:space="preserve">však </w:t>
      </w:r>
      <w:r w:rsidR="003E0003">
        <w:rPr>
          <w:rFonts w:ascii="Segoe UI" w:hAnsi="Segoe UI" w:cs="Segoe UI"/>
          <w:color w:val="212529"/>
          <w:shd w:val="clear" w:color="auto" w:fill="FFFFFF"/>
        </w:rPr>
        <w:t xml:space="preserve">má prezident, který může jednat samostatně. Proto byl osloven Hospodářskou a sociální radou Ústeckého kraje, s jeho kanceláří jednal senátor za Děčínsko Zbyněk Linhart i autor </w:t>
      </w:r>
      <w:r w:rsidR="003E0003">
        <w:rPr>
          <w:rFonts w:ascii="Segoe UI" w:hAnsi="Segoe UI" w:cs="Segoe UI"/>
          <w:color w:val="212529"/>
          <w:shd w:val="clear" w:color="auto" w:fill="FFFFFF"/>
        </w:rPr>
        <w:lastRenderedPageBreak/>
        <w:t xml:space="preserve">tohoto příspěvku. Na základě doporučení poradců se ale prezident přestal této problematice věnovat, je to téma odtaživé a nepřináší politické body a tak je zřejmě pro prezidenta lépe ponechat Severozápad svému osudu. </w:t>
      </w:r>
    </w:p>
    <w:p w14:paraId="4E85CED8" w14:textId="77777777" w:rsidR="00B85C45" w:rsidRDefault="00B85C45"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r>
        <w:rPr>
          <w:rFonts w:ascii="Segoe UI" w:hAnsi="Segoe UI" w:cs="Segoe UI"/>
          <w:color w:val="212529"/>
          <w:shd w:val="clear" w:color="auto" w:fill="FFFFFF"/>
        </w:rPr>
        <w:t xml:space="preserve">Otázkou je, zda by se neměli danou problematikou, která podstatně ovlivňuje kvalitu života obyvatel regionu, zabývat orgány samosprávného celku. </w:t>
      </w:r>
      <w:r w:rsidR="005E58BC">
        <w:rPr>
          <w:rFonts w:ascii="Segoe UI" w:hAnsi="Segoe UI" w:cs="Segoe UI"/>
          <w:color w:val="212529"/>
          <w:shd w:val="clear" w:color="auto" w:fill="FFFFFF"/>
        </w:rPr>
        <w:t>Z</w:t>
      </w:r>
      <w:r w:rsidRPr="003E0003">
        <w:rPr>
          <w:rFonts w:ascii="Calibri" w:eastAsia="Times New Roman" w:hAnsi="Calibri" w:cs="Calibri"/>
          <w:b/>
          <w:bCs/>
          <w:color w:val="000000"/>
          <w:sz w:val="24"/>
          <w:szCs w:val="24"/>
          <w:lang w:eastAsia="cs-CZ"/>
        </w:rPr>
        <w:t xml:space="preserve">astupitelstvo </w:t>
      </w:r>
      <w:r w:rsidRPr="003E0003">
        <w:rPr>
          <w:rFonts w:ascii="Calibri" w:eastAsia="Times New Roman" w:hAnsi="Calibri" w:cs="Calibri"/>
          <w:color w:val="FF0000"/>
          <w:sz w:val="24"/>
          <w:szCs w:val="24"/>
          <w:lang w:eastAsia="cs-CZ"/>
        </w:rPr>
        <w:t>vyšší</w:t>
      </w:r>
      <w:r>
        <w:rPr>
          <w:rFonts w:ascii="Calibri" w:eastAsia="Times New Roman" w:hAnsi="Calibri" w:cs="Calibri"/>
          <w:color w:val="FF0000"/>
          <w:sz w:val="24"/>
          <w:szCs w:val="24"/>
          <w:lang w:eastAsia="cs-CZ"/>
        </w:rPr>
        <w:t xml:space="preserve">ho územního samosprávného celku </w:t>
      </w:r>
      <w:r w:rsidR="005E58BC" w:rsidRPr="005E58BC">
        <w:rPr>
          <w:rFonts w:ascii="Calibri" w:eastAsia="Times New Roman" w:hAnsi="Calibri" w:cs="Calibri"/>
          <w:sz w:val="24"/>
          <w:szCs w:val="24"/>
          <w:lang w:eastAsia="cs-CZ"/>
        </w:rPr>
        <w:t>p</w:t>
      </w:r>
      <w:r w:rsidRPr="003E0003">
        <w:rPr>
          <w:rFonts w:ascii="Calibri" w:eastAsia="Times New Roman" w:hAnsi="Calibri" w:cs="Calibri"/>
          <w:sz w:val="24"/>
          <w:szCs w:val="24"/>
          <w:lang w:eastAsia="cs-CZ"/>
        </w:rPr>
        <w:t>o</w:t>
      </w:r>
      <w:r w:rsidRPr="003E0003">
        <w:rPr>
          <w:rFonts w:ascii="Calibri" w:eastAsia="Times New Roman" w:hAnsi="Calibri" w:cs="Calibri"/>
          <w:color w:val="000000"/>
          <w:sz w:val="24"/>
          <w:szCs w:val="24"/>
          <w:lang w:eastAsia="cs-CZ"/>
        </w:rPr>
        <w:t xml:space="preserve">dle čl. </w:t>
      </w:r>
      <w:r w:rsidR="005E58BC">
        <w:rPr>
          <w:rFonts w:ascii="Calibri" w:eastAsia="Times New Roman" w:hAnsi="Calibri" w:cs="Calibri"/>
          <w:color w:val="000000"/>
          <w:sz w:val="24"/>
          <w:szCs w:val="24"/>
          <w:lang w:eastAsia="cs-CZ"/>
        </w:rPr>
        <w:t>87 odst. 1 písm. c) ú</w:t>
      </w:r>
      <w:r w:rsidRPr="003E0003">
        <w:rPr>
          <w:rFonts w:ascii="Calibri" w:eastAsia="Times New Roman" w:hAnsi="Calibri" w:cs="Calibri"/>
          <w:color w:val="000000"/>
          <w:sz w:val="24"/>
          <w:szCs w:val="24"/>
          <w:lang w:eastAsia="cs-CZ"/>
        </w:rPr>
        <w:t>stavy</w:t>
      </w:r>
      <w:r>
        <w:rPr>
          <w:rFonts w:ascii="Calibri" w:eastAsia="Times New Roman" w:hAnsi="Calibri" w:cs="Calibri"/>
          <w:color w:val="000000"/>
          <w:sz w:val="24"/>
          <w:szCs w:val="24"/>
          <w:lang w:eastAsia="cs-CZ"/>
        </w:rPr>
        <w:t xml:space="preserve"> může podat ústavní žalobu</w:t>
      </w:r>
      <w:r w:rsidRPr="003E0003">
        <w:rPr>
          <w:rFonts w:ascii="Calibri" w:eastAsia="Times New Roman" w:hAnsi="Calibri" w:cs="Calibri"/>
          <w:color w:val="000000"/>
          <w:sz w:val="24"/>
          <w:szCs w:val="24"/>
          <w:lang w:eastAsia="cs-CZ"/>
        </w:rPr>
        <w:t>, </w:t>
      </w:r>
      <w:r w:rsidRPr="003E0003">
        <w:rPr>
          <w:rFonts w:ascii="Calibri" w:eastAsia="Times New Roman" w:hAnsi="Calibri" w:cs="Calibri"/>
          <w:b/>
          <w:bCs/>
          <w:color w:val="000000"/>
          <w:sz w:val="24"/>
          <w:szCs w:val="24"/>
          <w:lang w:eastAsia="cs-CZ"/>
        </w:rPr>
        <w:t xml:space="preserve">jestliže </w:t>
      </w:r>
      <w:r>
        <w:rPr>
          <w:rFonts w:ascii="Calibri" w:eastAsia="Times New Roman" w:hAnsi="Calibri" w:cs="Calibri"/>
          <w:b/>
          <w:bCs/>
          <w:color w:val="000000"/>
          <w:sz w:val="24"/>
          <w:szCs w:val="24"/>
          <w:lang w:eastAsia="cs-CZ"/>
        </w:rPr>
        <w:t>by mohl</w:t>
      </w:r>
      <w:r w:rsidR="005E58BC">
        <w:rPr>
          <w:rFonts w:ascii="Calibri" w:eastAsia="Times New Roman" w:hAnsi="Calibri" w:cs="Calibri"/>
          <w:b/>
          <w:bCs/>
          <w:color w:val="000000"/>
          <w:sz w:val="24"/>
          <w:szCs w:val="24"/>
          <w:lang w:eastAsia="cs-CZ"/>
        </w:rPr>
        <w:t>o</w:t>
      </w:r>
      <w:r>
        <w:rPr>
          <w:rFonts w:ascii="Calibri" w:eastAsia="Times New Roman" w:hAnsi="Calibri" w:cs="Calibri"/>
          <w:b/>
          <w:bCs/>
          <w:color w:val="000000"/>
          <w:sz w:val="24"/>
          <w:szCs w:val="24"/>
          <w:lang w:eastAsia="cs-CZ"/>
        </w:rPr>
        <w:t xml:space="preserve"> tvrdit, </w:t>
      </w:r>
      <w:r w:rsidRPr="003E0003">
        <w:rPr>
          <w:rFonts w:ascii="Calibri" w:eastAsia="Times New Roman" w:hAnsi="Calibri" w:cs="Calibri"/>
          <w:b/>
          <w:bCs/>
          <w:color w:val="000000"/>
          <w:sz w:val="24"/>
          <w:szCs w:val="24"/>
          <w:lang w:eastAsia="cs-CZ"/>
        </w:rPr>
        <w:t>že nezákonným zásahem státu bylo </w:t>
      </w:r>
      <w:r w:rsidRPr="00AF1864">
        <w:rPr>
          <w:rFonts w:ascii="Calibri" w:eastAsia="Times New Roman" w:hAnsi="Calibri" w:cs="Calibri"/>
          <w:b/>
          <w:bCs/>
          <w:color w:val="000000"/>
          <w:sz w:val="24"/>
          <w:szCs w:val="24"/>
          <w:lang w:eastAsia="cs-CZ"/>
        </w:rPr>
        <w:t>porušeno zaručené právo územního samosprávného celku na samosprávu</w:t>
      </w:r>
      <w:r w:rsidRPr="00AF1864">
        <w:rPr>
          <w:rFonts w:ascii="Calibri" w:eastAsia="Times New Roman" w:hAnsi="Calibri" w:cs="Calibri"/>
          <w:color w:val="000000"/>
          <w:sz w:val="24"/>
          <w:szCs w:val="24"/>
          <w:lang w:eastAsia="cs-CZ"/>
        </w:rPr>
        <w:t>.</w:t>
      </w:r>
      <w:r w:rsidR="005E58BC" w:rsidRPr="00AF1864">
        <w:rPr>
          <w:rFonts w:ascii="Calibri" w:eastAsia="Times New Roman" w:hAnsi="Calibri" w:cs="Calibri"/>
          <w:color w:val="000000"/>
          <w:sz w:val="24"/>
          <w:szCs w:val="24"/>
          <w:lang w:eastAsia="cs-CZ"/>
        </w:rPr>
        <w:t xml:space="preserve">  </w:t>
      </w:r>
      <w:r w:rsidR="005E58BC">
        <w:rPr>
          <w:rFonts w:ascii="Calibri" w:eastAsia="Times New Roman" w:hAnsi="Calibri" w:cs="Calibri"/>
          <w:color w:val="000000"/>
          <w:sz w:val="24"/>
          <w:szCs w:val="24"/>
          <w:lang w:eastAsia="cs-CZ"/>
        </w:rPr>
        <w:t>To</w:t>
      </w:r>
      <w:r w:rsidR="001B6DD4">
        <w:rPr>
          <w:rFonts w:ascii="Calibri" w:eastAsia="Times New Roman" w:hAnsi="Calibri" w:cs="Calibri"/>
          <w:color w:val="000000"/>
          <w:sz w:val="24"/>
          <w:szCs w:val="24"/>
          <w:lang w:eastAsia="cs-CZ"/>
        </w:rPr>
        <w:t xml:space="preserve"> je </w:t>
      </w:r>
      <w:r w:rsidR="005E58BC">
        <w:rPr>
          <w:rFonts w:ascii="Calibri" w:eastAsia="Times New Roman" w:hAnsi="Calibri" w:cs="Calibri"/>
          <w:color w:val="000000"/>
          <w:sz w:val="24"/>
          <w:szCs w:val="24"/>
          <w:lang w:eastAsia="cs-CZ"/>
        </w:rPr>
        <w:t xml:space="preserve"> záležitostí, která by zasloužila právní rozbor  a patřičnou analýzu</w:t>
      </w:r>
      <w:r w:rsidR="001B6DD4">
        <w:rPr>
          <w:rFonts w:ascii="Calibri" w:eastAsia="Times New Roman" w:hAnsi="Calibri" w:cs="Calibri"/>
          <w:color w:val="000000"/>
          <w:sz w:val="24"/>
          <w:szCs w:val="24"/>
          <w:lang w:eastAsia="cs-CZ"/>
        </w:rPr>
        <w:t xml:space="preserve"> a je nyní na vedení kraje, zda se</w:t>
      </w:r>
      <w:r w:rsidR="0028141B">
        <w:rPr>
          <w:rFonts w:ascii="Calibri" w:eastAsia="Times New Roman" w:hAnsi="Calibri" w:cs="Calibri"/>
          <w:color w:val="000000"/>
          <w:sz w:val="24"/>
          <w:szCs w:val="24"/>
          <w:lang w:eastAsia="cs-CZ"/>
        </w:rPr>
        <w:t xml:space="preserve"> odváží jít touto cestou</w:t>
      </w:r>
      <w:r w:rsidR="005E58BC">
        <w:rPr>
          <w:rFonts w:ascii="Calibri" w:eastAsia="Times New Roman" w:hAnsi="Calibri" w:cs="Calibri"/>
          <w:color w:val="000000"/>
          <w:sz w:val="24"/>
          <w:szCs w:val="24"/>
          <w:lang w:eastAsia="cs-CZ"/>
        </w:rPr>
        <w:t xml:space="preserve">. </w:t>
      </w:r>
    </w:p>
    <w:p w14:paraId="7E5D18A5" w14:textId="77777777" w:rsidR="005E58BC" w:rsidRDefault="005E58BC"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p>
    <w:p w14:paraId="54876C86" w14:textId="77777777" w:rsidR="005E58BC" w:rsidRPr="005E58BC" w:rsidRDefault="005E58BC" w:rsidP="003A0F35">
      <w:pPr>
        <w:autoSpaceDE w:val="0"/>
        <w:autoSpaceDN w:val="0"/>
        <w:adjustRightInd w:val="0"/>
        <w:spacing w:after="0" w:line="240" w:lineRule="auto"/>
        <w:jc w:val="both"/>
        <w:rPr>
          <w:rFonts w:ascii="Calibri" w:eastAsia="Times New Roman" w:hAnsi="Calibri" w:cs="Calibri"/>
          <w:color w:val="000000"/>
          <w:sz w:val="32"/>
          <w:szCs w:val="24"/>
          <w:lang w:eastAsia="cs-CZ"/>
        </w:rPr>
      </w:pPr>
      <w:r>
        <w:rPr>
          <w:rFonts w:ascii="Calibri" w:eastAsia="Times New Roman" w:hAnsi="Calibri" w:cs="Calibri"/>
          <w:color w:val="000000"/>
          <w:sz w:val="32"/>
          <w:szCs w:val="24"/>
          <w:lang w:eastAsia="cs-CZ"/>
        </w:rPr>
        <w:t>Facit</w:t>
      </w:r>
    </w:p>
    <w:p w14:paraId="6A5B30CF" w14:textId="77777777" w:rsidR="00B55CDF" w:rsidRDefault="005E58BC"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Je zřejmé, že </w:t>
      </w:r>
      <w:r w:rsidR="00482763">
        <w:rPr>
          <w:rFonts w:ascii="Calibri" w:eastAsia="Times New Roman" w:hAnsi="Calibri" w:cs="Calibri"/>
          <w:color w:val="000000"/>
          <w:sz w:val="24"/>
          <w:szCs w:val="24"/>
          <w:lang w:eastAsia="cs-CZ"/>
        </w:rPr>
        <w:t xml:space="preserve">jestliže </w:t>
      </w:r>
      <w:r>
        <w:rPr>
          <w:rFonts w:ascii="Calibri" w:eastAsia="Times New Roman" w:hAnsi="Calibri" w:cs="Calibri"/>
          <w:color w:val="000000"/>
          <w:sz w:val="24"/>
          <w:szCs w:val="24"/>
          <w:lang w:eastAsia="cs-CZ"/>
        </w:rPr>
        <w:t xml:space="preserve">Severozápadu nepomůže EU, nepomůže vláda, nepomohou zákonodárné orgány, zbývá pak jediné řešení obrátit se na </w:t>
      </w:r>
      <w:r w:rsidR="00AF1864">
        <w:rPr>
          <w:rFonts w:ascii="Calibri" w:eastAsia="Times New Roman" w:hAnsi="Calibri" w:cs="Calibri"/>
          <w:color w:val="000000"/>
          <w:sz w:val="24"/>
          <w:szCs w:val="24"/>
          <w:lang w:eastAsia="cs-CZ"/>
        </w:rPr>
        <w:t xml:space="preserve">ústavní </w:t>
      </w:r>
      <w:r>
        <w:rPr>
          <w:rFonts w:ascii="Calibri" w:eastAsia="Times New Roman" w:hAnsi="Calibri" w:cs="Calibri"/>
          <w:color w:val="000000"/>
          <w:sz w:val="24"/>
          <w:szCs w:val="24"/>
          <w:lang w:eastAsia="cs-CZ"/>
        </w:rPr>
        <w:t>soud, což jak bylo v textu uvedeno, je obvyklým postupem i v zahraničí, když není ve společnosti možnost najít konsenzus na tak citlivou otázku, jako</w:t>
      </w:r>
      <w:r w:rsidR="00B55CDF">
        <w:rPr>
          <w:rFonts w:ascii="Calibri" w:eastAsia="Times New Roman" w:hAnsi="Calibri" w:cs="Calibri"/>
          <w:color w:val="000000"/>
          <w:sz w:val="24"/>
          <w:szCs w:val="24"/>
          <w:lang w:eastAsia="cs-CZ"/>
        </w:rPr>
        <w:t>u</w:t>
      </w:r>
      <w:r>
        <w:rPr>
          <w:rFonts w:ascii="Calibri" w:eastAsia="Times New Roman" w:hAnsi="Calibri" w:cs="Calibri"/>
          <w:color w:val="000000"/>
          <w:sz w:val="24"/>
          <w:szCs w:val="24"/>
          <w:lang w:eastAsia="cs-CZ"/>
        </w:rPr>
        <w:t xml:space="preserve"> je</w:t>
      </w:r>
      <w:r w:rsidR="00B55CDF">
        <w:rPr>
          <w:rFonts w:ascii="Calibri" w:eastAsia="Times New Roman" w:hAnsi="Calibri" w:cs="Calibri"/>
          <w:color w:val="000000"/>
          <w:sz w:val="24"/>
          <w:szCs w:val="24"/>
          <w:lang w:eastAsia="cs-CZ"/>
        </w:rPr>
        <w:t xml:space="preserve"> spravedlivější rozdělování prostředků na správu jednotlivých článků společnosti. </w:t>
      </w:r>
    </w:p>
    <w:p w14:paraId="476C7720" w14:textId="77777777" w:rsidR="0028141B" w:rsidRDefault="0028141B"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p>
    <w:p w14:paraId="2722DF1E" w14:textId="77777777" w:rsidR="0028141B" w:rsidRDefault="0028141B"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Odůvodnění tohoto kroku lze nalézt v řadě statistických dat, která popisují stav Severozápadu, v tomto případě Ústeckého kraje, kdy sousední Karlovars</w:t>
      </w:r>
      <w:r w:rsidR="00210821">
        <w:rPr>
          <w:rFonts w:ascii="Calibri" w:eastAsia="Times New Roman" w:hAnsi="Calibri" w:cs="Calibri"/>
          <w:color w:val="000000"/>
          <w:sz w:val="24"/>
          <w:szCs w:val="24"/>
          <w:lang w:eastAsia="cs-CZ"/>
        </w:rPr>
        <w:t>ký kraj k těmto údajům úzce koreluje:</w:t>
      </w:r>
    </w:p>
    <w:p w14:paraId="7FD6493A" w14:textId="77777777" w:rsidR="00210821" w:rsidRDefault="00210821" w:rsidP="00210821">
      <w:pPr>
        <w:spacing w:after="0" w:line="240" w:lineRule="auto"/>
        <w:jc w:val="both"/>
        <w:rPr>
          <w:b/>
          <w:sz w:val="24"/>
          <w:szCs w:val="24"/>
        </w:rPr>
      </w:pPr>
      <w:r w:rsidRPr="0008671F">
        <w:rPr>
          <w:b/>
          <w:sz w:val="24"/>
          <w:szCs w:val="24"/>
        </w:rPr>
        <w:t>Největší nezaměstnanost v</w:t>
      </w:r>
      <w:r>
        <w:rPr>
          <w:b/>
          <w:sz w:val="24"/>
          <w:szCs w:val="24"/>
        </w:rPr>
        <w:t> </w:t>
      </w:r>
      <w:r w:rsidRPr="0008671F">
        <w:rPr>
          <w:b/>
          <w:sz w:val="24"/>
          <w:szCs w:val="24"/>
        </w:rPr>
        <w:t>ČR</w:t>
      </w:r>
      <w:r>
        <w:rPr>
          <w:b/>
          <w:sz w:val="24"/>
          <w:szCs w:val="24"/>
        </w:rPr>
        <w:t>, n</w:t>
      </w:r>
      <w:r w:rsidRPr="0008671F">
        <w:rPr>
          <w:b/>
          <w:sz w:val="24"/>
          <w:szCs w:val="24"/>
        </w:rPr>
        <w:t>ejvíce vyloučených lokalit</w:t>
      </w:r>
      <w:r>
        <w:rPr>
          <w:b/>
          <w:sz w:val="24"/>
          <w:szCs w:val="24"/>
        </w:rPr>
        <w:t>, n</w:t>
      </w:r>
      <w:r w:rsidRPr="00C33636">
        <w:rPr>
          <w:b/>
          <w:sz w:val="24"/>
          <w:szCs w:val="24"/>
        </w:rPr>
        <w:t xml:space="preserve">ejvíce </w:t>
      </w:r>
      <w:r w:rsidRPr="0008671F">
        <w:rPr>
          <w:b/>
          <w:sz w:val="24"/>
          <w:szCs w:val="24"/>
        </w:rPr>
        <w:t>osobních konkurzů</w:t>
      </w:r>
      <w:r>
        <w:rPr>
          <w:b/>
          <w:sz w:val="24"/>
          <w:szCs w:val="24"/>
        </w:rPr>
        <w:t>, nejvyšší počet exekucí občanů starších 15 let, existují obce, kde je v exekuci přes 50 % obyvatel, největší počet exekucí důchodců, n</w:t>
      </w:r>
      <w:r w:rsidRPr="00C33636">
        <w:rPr>
          <w:b/>
          <w:sz w:val="24"/>
          <w:szCs w:val="24"/>
        </w:rPr>
        <w:t>ejvětší</w:t>
      </w:r>
      <w:r>
        <w:rPr>
          <w:b/>
          <w:sz w:val="24"/>
          <w:szCs w:val="24"/>
        </w:rPr>
        <w:t xml:space="preserve"> zadluženost obyvatel, největší počet dlužníků v prodlení, největší vnitřní migrace obyvatel (mimo výměnu mezi Prahou a Středočeským krajem), n</w:t>
      </w:r>
      <w:r w:rsidRPr="00C33636">
        <w:rPr>
          <w:b/>
          <w:sz w:val="24"/>
          <w:szCs w:val="24"/>
        </w:rPr>
        <w:t>ejvětší</w:t>
      </w:r>
      <w:r>
        <w:rPr>
          <w:b/>
          <w:sz w:val="24"/>
          <w:szCs w:val="24"/>
        </w:rPr>
        <w:t xml:space="preserve"> podíl romského obyvatelstva, jedny z nejvyšších úbytků obyvatel v ČR zejména na Mostecku a Děčínsku,</w:t>
      </w:r>
      <w:r w:rsidRPr="00210821">
        <w:rPr>
          <w:b/>
          <w:sz w:val="24"/>
          <w:szCs w:val="24"/>
        </w:rPr>
        <w:t xml:space="preserve"> </w:t>
      </w:r>
      <w:r>
        <w:rPr>
          <w:b/>
          <w:sz w:val="24"/>
          <w:szCs w:val="24"/>
        </w:rPr>
        <w:t>nejnižší průměrný věk dožití v ČR, nejnižší disponibilní důchod domácností na 1 obyvatele,  nejnižší kupní síla v ČR (Děčín, Teplice, Chomutov, Bruntál, Jeseník), nejvíce potratů v ČR (Most, Chomutov, Teplice, Cheb,)</w:t>
      </w:r>
    </w:p>
    <w:p w14:paraId="5AC43346" w14:textId="77777777" w:rsidR="00210821" w:rsidRDefault="00210821" w:rsidP="00210821">
      <w:pPr>
        <w:spacing w:after="0" w:line="240" w:lineRule="auto"/>
        <w:jc w:val="both"/>
        <w:rPr>
          <w:b/>
          <w:sz w:val="24"/>
          <w:szCs w:val="24"/>
        </w:rPr>
      </w:pPr>
      <w:r>
        <w:rPr>
          <w:b/>
          <w:sz w:val="24"/>
          <w:szCs w:val="24"/>
        </w:rPr>
        <w:t xml:space="preserve">Za období 1997 – 2012 se postavilo méně než 1 byt na 1000 obyvatel, nejméně nových </w:t>
      </w:r>
      <w:r w:rsidR="00AF1864">
        <w:rPr>
          <w:b/>
          <w:sz w:val="24"/>
          <w:szCs w:val="24"/>
        </w:rPr>
        <w:t xml:space="preserve">postavených </w:t>
      </w:r>
      <w:r>
        <w:rPr>
          <w:b/>
          <w:sz w:val="24"/>
          <w:szCs w:val="24"/>
        </w:rPr>
        <w:t>bytů vykazují v ČR Most, Děčín, Ústí, Teplice</w:t>
      </w:r>
      <w:r w:rsidR="00AF1864">
        <w:rPr>
          <w:b/>
          <w:sz w:val="24"/>
          <w:szCs w:val="24"/>
        </w:rPr>
        <w:t>, n</w:t>
      </w:r>
      <w:r>
        <w:rPr>
          <w:b/>
          <w:sz w:val="24"/>
          <w:szCs w:val="24"/>
        </w:rPr>
        <w:t>ejdel</w:t>
      </w:r>
      <w:r w:rsidR="00AF1864">
        <w:rPr>
          <w:b/>
          <w:sz w:val="24"/>
          <w:szCs w:val="24"/>
        </w:rPr>
        <w:t>ší trvání soudních procesů v ČR, v</w:t>
      </w:r>
      <w:r>
        <w:rPr>
          <w:b/>
          <w:sz w:val="24"/>
          <w:szCs w:val="24"/>
        </w:rPr>
        <w:t>e vědě a výzkumu pracuje v ÚK jen desetina pr</w:t>
      </w:r>
      <w:r w:rsidR="00AF1864">
        <w:rPr>
          <w:b/>
          <w:sz w:val="24"/>
          <w:szCs w:val="24"/>
        </w:rPr>
        <w:t>acovníků oproti průměru ČR, 14</w:t>
      </w:r>
      <w:r>
        <w:rPr>
          <w:b/>
          <w:sz w:val="24"/>
          <w:szCs w:val="24"/>
        </w:rPr>
        <w:t xml:space="preserve"> % studentů nedokončí základní nebo střední vzdělání</w:t>
      </w:r>
      <w:r w:rsidR="00AF1864">
        <w:rPr>
          <w:b/>
          <w:sz w:val="24"/>
          <w:szCs w:val="24"/>
        </w:rPr>
        <w:t>, d</w:t>
      </w:r>
      <w:r>
        <w:rPr>
          <w:b/>
          <w:sz w:val="24"/>
          <w:szCs w:val="24"/>
        </w:rPr>
        <w:t xml:space="preserve">louho neřešené problémy v dopravní infrastruktuře, jako </w:t>
      </w:r>
      <w:r w:rsidR="00AF1864">
        <w:rPr>
          <w:b/>
          <w:sz w:val="24"/>
          <w:szCs w:val="24"/>
        </w:rPr>
        <w:t xml:space="preserve">odstrašující příklad </w:t>
      </w:r>
      <w:r>
        <w:rPr>
          <w:b/>
          <w:sz w:val="24"/>
          <w:szCs w:val="24"/>
        </w:rPr>
        <w:t>je strategická silnice I/13 spojující nejdůležitější centra ÚK</w:t>
      </w:r>
      <w:r w:rsidR="00AF1864">
        <w:rPr>
          <w:b/>
          <w:sz w:val="24"/>
          <w:szCs w:val="24"/>
        </w:rPr>
        <w:t xml:space="preserve"> a KVK</w:t>
      </w:r>
      <w:r>
        <w:rPr>
          <w:b/>
          <w:sz w:val="24"/>
          <w:szCs w:val="24"/>
        </w:rPr>
        <w:t xml:space="preserve">, která se začala stavět v roce 1939 </w:t>
      </w:r>
      <w:r w:rsidR="00AF1864">
        <w:rPr>
          <w:b/>
          <w:sz w:val="24"/>
          <w:szCs w:val="24"/>
        </w:rPr>
        <w:t xml:space="preserve">a </w:t>
      </w:r>
      <w:r>
        <w:rPr>
          <w:b/>
          <w:sz w:val="24"/>
          <w:szCs w:val="24"/>
        </w:rPr>
        <w:t xml:space="preserve">dosud není dostavěna a ani nebude </w:t>
      </w:r>
      <w:r w:rsidR="00AF1864">
        <w:rPr>
          <w:b/>
          <w:sz w:val="24"/>
          <w:szCs w:val="24"/>
        </w:rPr>
        <w:t xml:space="preserve">zřejmě </w:t>
      </w:r>
      <w:r>
        <w:rPr>
          <w:b/>
          <w:sz w:val="24"/>
          <w:szCs w:val="24"/>
        </w:rPr>
        <w:t xml:space="preserve">v příštích 20 ti letech, tj. historie stavby přetrvá zřejmě hranici 100 let. </w:t>
      </w:r>
    </w:p>
    <w:p w14:paraId="33EFF25A" w14:textId="77777777" w:rsidR="00210821" w:rsidRDefault="00210821" w:rsidP="00210821">
      <w:pPr>
        <w:spacing w:after="0" w:line="240" w:lineRule="auto"/>
        <w:jc w:val="both"/>
        <w:rPr>
          <w:b/>
          <w:sz w:val="24"/>
          <w:szCs w:val="24"/>
        </w:rPr>
      </w:pPr>
      <w:r>
        <w:rPr>
          <w:b/>
          <w:sz w:val="24"/>
          <w:szCs w:val="24"/>
        </w:rPr>
        <w:t xml:space="preserve">V multikriteriálním srovnání 77. okresů </w:t>
      </w:r>
      <w:r w:rsidR="005507B5">
        <w:rPr>
          <w:b/>
          <w:sz w:val="24"/>
          <w:szCs w:val="24"/>
        </w:rPr>
        <w:t xml:space="preserve">ČR </w:t>
      </w:r>
      <w:r>
        <w:rPr>
          <w:b/>
          <w:sz w:val="24"/>
          <w:szCs w:val="24"/>
        </w:rPr>
        <w:t>(</w:t>
      </w:r>
      <w:r w:rsidR="005507B5">
        <w:rPr>
          <w:b/>
          <w:sz w:val="24"/>
          <w:szCs w:val="24"/>
        </w:rPr>
        <w:t xml:space="preserve">hodnoceno celkem </w:t>
      </w:r>
      <w:r>
        <w:rPr>
          <w:b/>
          <w:sz w:val="24"/>
          <w:szCs w:val="24"/>
        </w:rPr>
        <w:t xml:space="preserve">50 kriterií) na téma „Kde se nejlépe žije“ 6 okresů ÚK bylo mezi posledními osmi a sedmý okres obsadil 64 místo (Litoměřice)! </w:t>
      </w:r>
    </w:p>
    <w:p w14:paraId="17312C15" w14:textId="77777777" w:rsidR="00210821" w:rsidRDefault="00210821" w:rsidP="00210821">
      <w:pPr>
        <w:autoSpaceDE w:val="0"/>
        <w:autoSpaceDN w:val="0"/>
        <w:adjustRightInd w:val="0"/>
        <w:spacing w:after="0" w:line="240" w:lineRule="auto"/>
        <w:jc w:val="both"/>
        <w:rPr>
          <w:rFonts w:ascii="Calibri" w:eastAsia="Times New Roman" w:hAnsi="Calibri" w:cs="Calibri"/>
          <w:color w:val="000000"/>
          <w:sz w:val="24"/>
          <w:szCs w:val="24"/>
          <w:lang w:eastAsia="cs-CZ"/>
        </w:rPr>
      </w:pPr>
    </w:p>
    <w:p w14:paraId="5474DCBF" w14:textId="77777777" w:rsidR="00B55CDF" w:rsidRDefault="00B55CDF"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p>
    <w:p w14:paraId="2245714B" w14:textId="77777777" w:rsidR="00B55CDF" w:rsidRDefault="00B55CDF" w:rsidP="003A0F35">
      <w:pPr>
        <w:autoSpaceDE w:val="0"/>
        <w:autoSpaceDN w:val="0"/>
        <w:adjustRightInd w:val="0"/>
        <w:spacing w:after="0" w:line="240" w:lineRule="auto"/>
        <w:jc w:val="both"/>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 xml:space="preserve">Ing. Jiří Aster </w:t>
      </w:r>
    </w:p>
    <w:p w14:paraId="5D17FEEB" w14:textId="77777777" w:rsidR="005E58BC" w:rsidRDefault="00B55CDF" w:rsidP="003A0F35">
      <w:pPr>
        <w:autoSpaceDE w:val="0"/>
        <w:autoSpaceDN w:val="0"/>
        <w:adjustRightInd w:val="0"/>
        <w:spacing w:after="0" w:line="240" w:lineRule="auto"/>
        <w:jc w:val="both"/>
        <w:rPr>
          <w:rFonts w:ascii="Segoe UI" w:hAnsi="Segoe UI" w:cs="Segoe UI"/>
          <w:color w:val="212529"/>
          <w:shd w:val="clear" w:color="auto" w:fill="FFFFFF"/>
        </w:rPr>
      </w:pPr>
      <w:r>
        <w:rPr>
          <w:rFonts w:ascii="Calibri" w:eastAsia="Times New Roman" w:hAnsi="Calibri" w:cs="Calibri"/>
          <w:color w:val="000000"/>
          <w:sz w:val="24"/>
          <w:szCs w:val="24"/>
          <w:lang w:eastAsia="cs-CZ"/>
        </w:rPr>
        <w:t xml:space="preserve">Člen představenstva Krajské hospodářské komory. </w:t>
      </w:r>
      <w:r w:rsidR="005E58BC">
        <w:rPr>
          <w:rFonts w:ascii="Calibri" w:eastAsia="Times New Roman" w:hAnsi="Calibri" w:cs="Calibri"/>
          <w:color w:val="000000"/>
          <w:sz w:val="24"/>
          <w:szCs w:val="24"/>
          <w:lang w:eastAsia="cs-CZ"/>
        </w:rPr>
        <w:t xml:space="preserve"> </w:t>
      </w:r>
    </w:p>
    <w:p w14:paraId="7C9B71CE" w14:textId="77777777" w:rsidR="00356E7A" w:rsidRPr="00747A2C" w:rsidRDefault="0028141B" w:rsidP="003A0F35">
      <w:pPr>
        <w:autoSpaceDE w:val="0"/>
        <w:autoSpaceDN w:val="0"/>
        <w:adjustRightInd w:val="0"/>
        <w:spacing w:after="0" w:line="240" w:lineRule="auto"/>
        <w:jc w:val="both"/>
      </w:pPr>
      <w:r>
        <w:t>Březen 2025</w:t>
      </w:r>
    </w:p>
    <w:sectPr w:rsidR="00356E7A" w:rsidRPr="00747A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8500B" w14:textId="77777777" w:rsidR="001A1BB0" w:rsidRDefault="001A1BB0" w:rsidP="00D40A78">
      <w:pPr>
        <w:spacing w:after="0" w:line="240" w:lineRule="auto"/>
      </w:pPr>
      <w:r>
        <w:separator/>
      </w:r>
    </w:p>
  </w:endnote>
  <w:endnote w:type="continuationSeparator" w:id="0">
    <w:p w14:paraId="3A44CB17" w14:textId="77777777" w:rsidR="001A1BB0" w:rsidRDefault="001A1BB0" w:rsidP="00D4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388901"/>
      <w:docPartObj>
        <w:docPartGallery w:val="Page Numbers (Bottom of Page)"/>
        <w:docPartUnique/>
      </w:docPartObj>
    </w:sdtPr>
    <w:sdtContent>
      <w:p w14:paraId="6CEB1613" w14:textId="77777777" w:rsidR="00210821" w:rsidRDefault="00210821">
        <w:pPr>
          <w:pStyle w:val="Zpat"/>
          <w:jc w:val="center"/>
        </w:pPr>
        <w:r>
          <w:fldChar w:fldCharType="begin"/>
        </w:r>
        <w:r>
          <w:instrText>PAGE   \* MERGEFORMAT</w:instrText>
        </w:r>
        <w:r>
          <w:fldChar w:fldCharType="separate"/>
        </w:r>
        <w:r w:rsidR="00E37775">
          <w:rPr>
            <w:noProof/>
          </w:rPr>
          <w:t>1</w:t>
        </w:r>
        <w:r>
          <w:fldChar w:fldCharType="end"/>
        </w:r>
      </w:p>
    </w:sdtContent>
  </w:sdt>
  <w:p w14:paraId="11BACA38" w14:textId="77777777" w:rsidR="00210821" w:rsidRDefault="002108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3688" w14:textId="77777777" w:rsidR="001A1BB0" w:rsidRDefault="001A1BB0" w:rsidP="00D40A78">
      <w:pPr>
        <w:spacing w:after="0" w:line="240" w:lineRule="auto"/>
      </w:pPr>
      <w:r>
        <w:separator/>
      </w:r>
    </w:p>
  </w:footnote>
  <w:footnote w:type="continuationSeparator" w:id="0">
    <w:p w14:paraId="7699C5C4" w14:textId="77777777" w:rsidR="001A1BB0" w:rsidRDefault="001A1BB0" w:rsidP="00D40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70BC6"/>
    <w:multiLevelType w:val="multilevel"/>
    <w:tmpl w:val="CF34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3017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B67"/>
    <w:rsid w:val="000545BD"/>
    <w:rsid w:val="000C2360"/>
    <w:rsid w:val="000C55D2"/>
    <w:rsid w:val="0011359C"/>
    <w:rsid w:val="00144CCB"/>
    <w:rsid w:val="00162D16"/>
    <w:rsid w:val="001A1BB0"/>
    <w:rsid w:val="001B6DD4"/>
    <w:rsid w:val="002023C2"/>
    <w:rsid w:val="00210821"/>
    <w:rsid w:val="00231845"/>
    <w:rsid w:val="00241399"/>
    <w:rsid w:val="0024395C"/>
    <w:rsid w:val="0028141B"/>
    <w:rsid w:val="00304EFE"/>
    <w:rsid w:val="0032566D"/>
    <w:rsid w:val="0035193D"/>
    <w:rsid w:val="00356E7A"/>
    <w:rsid w:val="003A0F35"/>
    <w:rsid w:val="003A41AB"/>
    <w:rsid w:val="003E0003"/>
    <w:rsid w:val="003E4C1F"/>
    <w:rsid w:val="00401697"/>
    <w:rsid w:val="00412310"/>
    <w:rsid w:val="00424834"/>
    <w:rsid w:val="00482763"/>
    <w:rsid w:val="00530B67"/>
    <w:rsid w:val="005507B5"/>
    <w:rsid w:val="0057614B"/>
    <w:rsid w:val="00580C96"/>
    <w:rsid w:val="005930AA"/>
    <w:rsid w:val="005E58BC"/>
    <w:rsid w:val="006032EC"/>
    <w:rsid w:val="006175CD"/>
    <w:rsid w:val="006B1C8A"/>
    <w:rsid w:val="006B2836"/>
    <w:rsid w:val="006C0A35"/>
    <w:rsid w:val="006C5B09"/>
    <w:rsid w:val="006E6240"/>
    <w:rsid w:val="006E6CE8"/>
    <w:rsid w:val="007161C3"/>
    <w:rsid w:val="00747A2C"/>
    <w:rsid w:val="00797FF9"/>
    <w:rsid w:val="007E464E"/>
    <w:rsid w:val="007F00C2"/>
    <w:rsid w:val="0083168A"/>
    <w:rsid w:val="00853C2B"/>
    <w:rsid w:val="008C1D1A"/>
    <w:rsid w:val="009576DB"/>
    <w:rsid w:val="00961C20"/>
    <w:rsid w:val="00975557"/>
    <w:rsid w:val="009800E3"/>
    <w:rsid w:val="00983F86"/>
    <w:rsid w:val="009A7B5C"/>
    <w:rsid w:val="009D582C"/>
    <w:rsid w:val="009E2BCE"/>
    <w:rsid w:val="00AA446B"/>
    <w:rsid w:val="00AF1864"/>
    <w:rsid w:val="00B0141E"/>
    <w:rsid w:val="00B02599"/>
    <w:rsid w:val="00B454FB"/>
    <w:rsid w:val="00B55CDF"/>
    <w:rsid w:val="00B756F8"/>
    <w:rsid w:val="00B85C45"/>
    <w:rsid w:val="00BB772C"/>
    <w:rsid w:val="00BF5491"/>
    <w:rsid w:val="00C21B8A"/>
    <w:rsid w:val="00C704FE"/>
    <w:rsid w:val="00C84C0B"/>
    <w:rsid w:val="00CA4E8F"/>
    <w:rsid w:val="00CD7C03"/>
    <w:rsid w:val="00CE4538"/>
    <w:rsid w:val="00CE5F28"/>
    <w:rsid w:val="00CF12DB"/>
    <w:rsid w:val="00D30DB4"/>
    <w:rsid w:val="00D40A78"/>
    <w:rsid w:val="00DC1F3D"/>
    <w:rsid w:val="00DD705F"/>
    <w:rsid w:val="00DF5999"/>
    <w:rsid w:val="00E14937"/>
    <w:rsid w:val="00E23A31"/>
    <w:rsid w:val="00E362EF"/>
    <w:rsid w:val="00E37775"/>
    <w:rsid w:val="00E37D60"/>
    <w:rsid w:val="00E8393C"/>
    <w:rsid w:val="00EB2532"/>
    <w:rsid w:val="00EE1319"/>
    <w:rsid w:val="00EE3076"/>
    <w:rsid w:val="00EF339B"/>
    <w:rsid w:val="00F42B69"/>
    <w:rsid w:val="00F51259"/>
    <w:rsid w:val="00F64540"/>
    <w:rsid w:val="00F8135F"/>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657A"/>
  <w15:docId w15:val="{73F6EB36-438B-4EAB-AFE3-86012ECE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gkelc">
    <w:name w:val="hgkelc"/>
    <w:basedOn w:val="Standardnpsmoodstavce"/>
    <w:rsid w:val="00530B67"/>
  </w:style>
  <w:style w:type="paragraph" w:customStyle="1" w:styleId="perex">
    <w:name w:val="perex"/>
    <w:basedOn w:val="Normln"/>
    <w:rsid w:val="006C0A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6C0A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31845"/>
    <w:rPr>
      <w:b/>
      <w:bCs/>
    </w:rPr>
  </w:style>
  <w:style w:type="paragraph" w:customStyle="1" w:styleId="continue-read-break">
    <w:name w:val="continue-read-break"/>
    <w:basedOn w:val="Normln"/>
    <w:rsid w:val="00961C2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40A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0A78"/>
  </w:style>
  <w:style w:type="paragraph" w:styleId="Zpat">
    <w:name w:val="footer"/>
    <w:basedOn w:val="Normln"/>
    <w:link w:val="ZpatChar"/>
    <w:uiPriority w:val="99"/>
    <w:unhideWhenUsed/>
    <w:rsid w:val="00D40A78"/>
    <w:pPr>
      <w:tabs>
        <w:tab w:val="center" w:pos="4536"/>
        <w:tab w:val="right" w:pos="9072"/>
      </w:tabs>
      <w:spacing w:after="0" w:line="240" w:lineRule="auto"/>
    </w:pPr>
  </w:style>
  <w:style w:type="character" w:customStyle="1" w:styleId="ZpatChar">
    <w:name w:val="Zápatí Char"/>
    <w:basedOn w:val="Standardnpsmoodstavce"/>
    <w:link w:val="Zpat"/>
    <w:uiPriority w:val="99"/>
    <w:rsid w:val="00D40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9952">
      <w:bodyDiv w:val="1"/>
      <w:marLeft w:val="0"/>
      <w:marRight w:val="0"/>
      <w:marTop w:val="0"/>
      <w:marBottom w:val="0"/>
      <w:divBdr>
        <w:top w:val="none" w:sz="0" w:space="0" w:color="auto"/>
        <w:left w:val="none" w:sz="0" w:space="0" w:color="auto"/>
        <w:bottom w:val="none" w:sz="0" w:space="0" w:color="auto"/>
        <w:right w:val="none" w:sz="0" w:space="0" w:color="auto"/>
      </w:divBdr>
    </w:div>
    <w:div w:id="1051002316">
      <w:bodyDiv w:val="1"/>
      <w:marLeft w:val="0"/>
      <w:marRight w:val="0"/>
      <w:marTop w:val="0"/>
      <w:marBottom w:val="0"/>
      <w:divBdr>
        <w:top w:val="none" w:sz="0" w:space="0" w:color="auto"/>
        <w:left w:val="none" w:sz="0" w:space="0" w:color="auto"/>
        <w:bottom w:val="none" w:sz="0" w:space="0" w:color="auto"/>
        <w:right w:val="none" w:sz="0" w:space="0" w:color="auto"/>
      </w:divBdr>
    </w:div>
    <w:div w:id="1098677132">
      <w:bodyDiv w:val="1"/>
      <w:marLeft w:val="0"/>
      <w:marRight w:val="0"/>
      <w:marTop w:val="0"/>
      <w:marBottom w:val="0"/>
      <w:divBdr>
        <w:top w:val="none" w:sz="0" w:space="0" w:color="auto"/>
        <w:left w:val="none" w:sz="0" w:space="0" w:color="auto"/>
        <w:bottom w:val="none" w:sz="0" w:space="0" w:color="auto"/>
        <w:right w:val="none" w:sz="0" w:space="0" w:color="auto"/>
      </w:divBdr>
    </w:div>
    <w:div w:id="1112551322">
      <w:bodyDiv w:val="1"/>
      <w:marLeft w:val="0"/>
      <w:marRight w:val="0"/>
      <w:marTop w:val="0"/>
      <w:marBottom w:val="0"/>
      <w:divBdr>
        <w:top w:val="none" w:sz="0" w:space="0" w:color="auto"/>
        <w:left w:val="none" w:sz="0" w:space="0" w:color="auto"/>
        <w:bottom w:val="none" w:sz="0" w:space="0" w:color="auto"/>
        <w:right w:val="none" w:sz="0" w:space="0" w:color="auto"/>
      </w:divBdr>
    </w:div>
    <w:div w:id="1690183388">
      <w:bodyDiv w:val="1"/>
      <w:marLeft w:val="0"/>
      <w:marRight w:val="0"/>
      <w:marTop w:val="0"/>
      <w:marBottom w:val="0"/>
      <w:divBdr>
        <w:top w:val="none" w:sz="0" w:space="0" w:color="auto"/>
        <w:left w:val="none" w:sz="0" w:space="0" w:color="auto"/>
        <w:bottom w:val="none" w:sz="0" w:space="0" w:color="auto"/>
        <w:right w:val="none" w:sz="0" w:space="0" w:color="auto"/>
      </w:divBdr>
    </w:div>
    <w:div w:id="17686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cid:image003.png@01DAE681.6883359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B535-21D4-4D84-9AEC-DC08268A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2894</Words>
  <Characters>17077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dc:creator>
  <cp:lastModifiedBy>Rudolf Jung</cp:lastModifiedBy>
  <cp:revision>4</cp:revision>
  <cp:lastPrinted>2025-03-09T10:59:00Z</cp:lastPrinted>
  <dcterms:created xsi:type="dcterms:W3CDTF">2025-03-10T10:47:00Z</dcterms:created>
  <dcterms:modified xsi:type="dcterms:W3CDTF">2025-03-10T11:06:00Z</dcterms:modified>
</cp:coreProperties>
</file>